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E2F" w:rsidRPr="00931704" w:rsidRDefault="004D0E2F" w:rsidP="004D0E2F">
      <w:pPr>
        <w:shd w:val="clear" w:color="auto" w:fill="FFFFFF"/>
        <w:spacing w:after="0" w:line="360" w:lineRule="auto"/>
        <w:jc w:val="center"/>
        <w:rPr>
          <w:rFonts w:asciiTheme="minorBidi" w:eastAsia="Times New Roman" w:hAnsiTheme="minorBidi"/>
          <w:color w:val="0F1115"/>
          <w:sz w:val="24"/>
          <w:szCs w:val="24"/>
        </w:rPr>
      </w:pPr>
      <w:r w:rsidRPr="00931704">
        <w:rPr>
          <w:rFonts w:asciiTheme="minorBidi" w:eastAsia="Times New Roman" w:hAnsiTheme="minorBidi"/>
          <w:b/>
          <w:bCs/>
          <w:color w:val="0F1115"/>
          <w:sz w:val="24"/>
          <w:szCs w:val="24"/>
        </w:rPr>
        <w:t>Deep Learning for Polymer Informatics: A Critical Analysis of Representations, Architectures, and Evaluation Practices</w:t>
      </w:r>
    </w:p>
    <w:p w:rsidR="004D0E2F" w:rsidRPr="00931704" w:rsidRDefault="004D0E2F" w:rsidP="004D0E2F">
      <w:pPr>
        <w:autoSpaceDE w:val="0"/>
        <w:autoSpaceDN w:val="0"/>
        <w:adjustRightInd w:val="0"/>
        <w:spacing w:after="0" w:line="360" w:lineRule="auto"/>
        <w:jc w:val="center"/>
        <w:rPr>
          <w:rFonts w:asciiTheme="minorBidi" w:hAnsiTheme="minorBidi"/>
          <w:b/>
          <w:bCs/>
          <w:color w:val="000000"/>
          <w:sz w:val="16"/>
          <w:szCs w:val="16"/>
        </w:rPr>
      </w:pPr>
      <w:r w:rsidRPr="00931704">
        <w:rPr>
          <w:rFonts w:asciiTheme="minorBidi" w:hAnsiTheme="minorBidi"/>
          <w:b/>
          <w:bCs/>
          <w:color w:val="000000"/>
          <w:sz w:val="24"/>
          <w:szCs w:val="24"/>
        </w:rPr>
        <w:t>Nassima Aleb</w:t>
      </w:r>
    </w:p>
    <w:p w:rsidR="004D0E2F" w:rsidRPr="00931704" w:rsidRDefault="004D0E2F" w:rsidP="004D0E2F">
      <w:pPr>
        <w:autoSpaceDE w:val="0"/>
        <w:autoSpaceDN w:val="0"/>
        <w:adjustRightInd w:val="0"/>
        <w:spacing w:after="0" w:line="360" w:lineRule="auto"/>
        <w:jc w:val="center"/>
        <w:rPr>
          <w:rFonts w:asciiTheme="minorBidi" w:hAnsiTheme="minorBidi"/>
          <w:b/>
          <w:bCs/>
          <w:color w:val="0000FF"/>
          <w:sz w:val="18"/>
          <w:szCs w:val="18"/>
        </w:rPr>
      </w:pPr>
      <w:r w:rsidRPr="00931704">
        <w:rPr>
          <w:rFonts w:asciiTheme="minorBidi" w:hAnsiTheme="minorBidi"/>
          <w:b/>
          <w:bCs/>
          <w:color w:val="0000FF"/>
          <w:sz w:val="18"/>
          <w:szCs w:val="18"/>
        </w:rPr>
        <w:t>alebn@rcjy.edu.sa</w:t>
      </w:r>
    </w:p>
    <w:p w:rsidR="004D0E2F" w:rsidRPr="00931704" w:rsidRDefault="004D0E2F" w:rsidP="004D0E2F">
      <w:pPr>
        <w:autoSpaceDE w:val="0"/>
        <w:autoSpaceDN w:val="0"/>
        <w:adjustRightInd w:val="0"/>
        <w:spacing w:after="0" w:line="360" w:lineRule="auto"/>
        <w:jc w:val="center"/>
        <w:rPr>
          <w:rFonts w:asciiTheme="minorBidi" w:hAnsiTheme="minorBidi"/>
          <w:color w:val="000000"/>
          <w:sz w:val="20"/>
          <w:szCs w:val="20"/>
        </w:rPr>
      </w:pPr>
      <w:r w:rsidRPr="00931704">
        <w:rPr>
          <w:rFonts w:asciiTheme="minorBidi" w:hAnsiTheme="minorBidi"/>
          <w:color w:val="000000"/>
          <w:sz w:val="20"/>
          <w:szCs w:val="20"/>
        </w:rPr>
        <w:t>Computer and Information Technology Department, Jubail Industrial College,</w:t>
      </w:r>
    </w:p>
    <w:p w:rsidR="004D0E2F" w:rsidRPr="00931704" w:rsidRDefault="004D0E2F" w:rsidP="004D0E2F">
      <w:pPr>
        <w:autoSpaceDE w:val="0"/>
        <w:autoSpaceDN w:val="0"/>
        <w:adjustRightInd w:val="0"/>
        <w:spacing w:after="0" w:line="360" w:lineRule="auto"/>
        <w:jc w:val="center"/>
        <w:rPr>
          <w:rFonts w:asciiTheme="minorBidi" w:hAnsiTheme="minorBidi"/>
          <w:color w:val="000000"/>
          <w:sz w:val="20"/>
          <w:szCs w:val="20"/>
        </w:rPr>
      </w:pPr>
      <w:r w:rsidRPr="00931704">
        <w:rPr>
          <w:rFonts w:asciiTheme="minorBidi" w:hAnsiTheme="minorBidi"/>
          <w:color w:val="000000"/>
          <w:sz w:val="20"/>
          <w:szCs w:val="20"/>
        </w:rPr>
        <w:t>Jubail Industrial City, 31961, Saudi Arabia</w:t>
      </w:r>
    </w:p>
    <w:p w:rsidR="004D0E2F" w:rsidRPr="006C7800" w:rsidRDefault="004D0E2F" w:rsidP="004D0E2F">
      <w:pPr>
        <w:spacing w:after="0" w:line="360" w:lineRule="auto"/>
        <w:jc w:val="both"/>
        <w:rPr>
          <w:rFonts w:cstheme="minorHAnsi"/>
          <w:sz w:val="20"/>
          <w:szCs w:val="20"/>
        </w:rPr>
      </w:pPr>
    </w:p>
    <w:p w:rsidR="00CC0608" w:rsidRPr="006C7800" w:rsidRDefault="00CC0608" w:rsidP="004D0E2F">
      <w:pPr>
        <w:spacing w:after="0" w:line="360" w:lineRule="auto"/>
        <w:jc w:val="both"/>
        <w:rPr>
          <w:rFonts w:cstheme="minorHAnsi"/>
          <w:sz w:val="20"/>
          <w:szCs w:val="20"/>
        </w:rPr>
      </w:pPr>
    </w:p>
    <w:p w:rsidR="00CC0608" w:rsidRPr="006C7800" w:rsidRDefault="006C7800" w:rsidP="004D0E2F">
      <w:pPr>
        <w:spacing w:after="0" w:line="360" w:lineRule="auto"/>
        <w:jc w:val="both"/>
        <w:rPr>
          <w:rFonts w:cstheme="minorHAnsi"/>
          <w:sz w:val="20"/>
          <w:szCs w:val="20"/>
        </w:rPr>
      </w:pPr>
      <w:r w:rsidRPr="006C7800">
        <w:rPr>
          <w:rFonts w:cstheme="minorHAnsi"/>
          <w:b/>
          <w:bCs/>
          <w:sz w:val="20"/>
          <w:szCs w:val="20"/>
        </w:rPr>
        <w:t>Abstract-</w:t>
      </w:r>
      <w:r>
        <w:rPr>
          <w:rFonts w:cstheme="minorHAnsi"/>
          <w:sz w:val="20"/>
          <w:szCs w:val="20"/>
        </w:rPr>
        <w:t xml:space="preserve"> </w:t>
      </w:r>
      <w:r w:rsidR="00CC0608" w:rsidRPr="006C7800">
        <w:rPr>
          <w:rFonts w:cstheme="minorHAnsi"/>
          <w:sz w:val="20"/>
          <w:szCs w:val="20"/>
        </w:rPr>
        <w:t>Polymers are inherently multiscale materials whose macroscopic properties emerge from stochastic interactions across electronic, molecular, and morphological levels. While deep learning (DL) holds transformative potential, its impact is hindered by the lack of domain-specific foundations. Unlike discrete molecules, polymers are statistical ensembles with hierarchical morphologies and processing-dependent behaviors</w:t>
      </w:r>
      <w:r w:rsidR="00430310">
        <w:rPr>
          <w:rFonts w:cstheme="minorHAnsi"/>
          <w:sz w:val="20"/>
          <w:szCs w:val="20"/>
        </w:rPr>
        <w:t xml:space="preserve">, </w:t>
      </w:r>
      <w:r w:rsidR="00CC0608" w:rsidRPr="006C7800">
        <w:rPr>
          <w:rFonts w:cstheme="minorHAnsi"/>
          <w:sz w:val="20"/>
          <w:szCs w:val="20"/>
        </w:rPr>
        <w:t>characteristics that break the assumptions of conventional DL architectures. This review presents a critical synthesis of DL in polymer science, arguing that progress requires a shift from architectural novelty to polymer-aware methodologies. We formalize the field around four pillars: representation (encoding stochasticity across scales), evaluation (establishing benchmarks for Out-of-Distribution generalization), physics integration (embedding physical constraints as inductive biases), and multimodality (fusing heterogeneous data from simulations and experiments). Rather than cataloging models, we critically assess the "Validation Chasm" in current approaches, identifying gaps in interpretability and reproducibility. We conclude with a strategic roadmap for building DL systems that are physically grounded and aligned with the statistical realities of macromolecular systems.</w:t>
      </w:r>
    </w:p>
    <w:p w:rsidR="004D0E2F" w:rsidRDefault="004D0E2F" w:rsidP="004D0E2F">
      <w:pPr>
        <w:shd w:val="clear" w:color="auto" w:fill="FFFFFF"/>
        <w:spacing w:after="0" w:line="360" w:lineRule="auto"/>
        <w:ind w:left="-15" w:right="-15"/>
        <w:jc w:val="both"/>
        <w:outlineLvl w:val="5"/>
        <w:rPr>
          <w:rFonts w:eastAsia="Times New Roman" w:cstheme="minorHAnsi"/>
          <w:b/>
          <w:bCs/>
          <w:color w:val="1F1F1F"/>
          <w:sz w:val="20"/>
          <w:szCs w:val="20"/>
        </w:rPr>
      </w:pPr>
    </w:p>
    <w:p w:rsidR="006C7800" w:rsidRPr="006C7800" w:rsidRDefault="004D0E2F" w:rsidP="004D0E2F">
      <w:pPr>
        <w:shd w:val="clear" w:color="auto" w:fill="FFFFFF"/>
        <w:spacing w:after="0" w:line="360" w:lineRule="auto"/>
        <w:ind w:left="-15" w:right="-15"/>
        <w:jc w:val="both"/>
        <w:outlineLvl w:val="5"/>
        <w:rPr>
          <w:rFonts w:eastAsia="Times New Roman" w:cstheme="minorHAnsi"/>
          <w:color w:val="1F1F1F"/>
          <w:sz w:val="20"/>
          <w:szCs w:val="20"/>
        </w:rPr>
      </w:pPr>
      <w:r>
        <w:rPr>
          <w:rFonts w:eastAsia="Times New Roman" w:cstheme="minorHAnsi"/>
          <w:b/>
          <w:bCs/>
          <w:color w:val="1F1F1F"/>
          <w:sz w:val="20"/>
          <w:szCs w:val="20"/>
        </w:rPr>
        <w:t>Keywords:</w:t>
      </w:r>
      <w:r w:rsidR="006C7800">
        <w:rPr>
          <w:rFonts w:eastAsia="Times New Roman" w:cstheme="minorHAnsi"/>
          <w:b/>
          <w:bCs/>
          <w:color w:val="1F1F1F"/>
          <w:sz w:val="20"/>
          <w:szCs w:val="20"/>
        </w:rPr>
        <w:t xml:space="preserve"> </w:t>
      </w:r>
      <w:r w:rsidR="006C7800" w:rsidRPr="006C7800">
        <w:rPr>
          <w:rFonts w:eastAsia="Times New Roman" w:cstheme="minorHAnsi"/>
          <w:color w:val="1F1F1F"/>
          <w:sz w:val="20"/>
          <w:szCs w:val="20"/>
        </w:rPr>
        <w:t>Polymer informatics; Deep learning; Polymer representations; Multiscale modeling; Physics-informed machine learning; Multimodal data fusion; Out-of-distribution generalization; Stochastic ensembles; Graph neural networks; Benchmarking and evaluation</w:t>
      </w:r>
    </w:p>
    <w:p w:rsidR="00CC0608" w:rsidRDefault="00CC0608" w:rsidP="004D0E2F">
      <w:pPr>
        <w:spacing w:after="0" w:line="360" w:lineRule="auto"/>
        <w:jc w:val="both"/>
        <w:rPr>
          <w:rFonts w:cstheme="minorHAnsi"/>
          <w:sz w:val="20"/>
          <w:szCs w:val="20"/>
        </w:rPr>
      </w:pPr>
    </w:p>
    <w:p w:rsidR="006C7800" w:rsidRDefault="006C7800" w:rsidP="004D0E2F">
      <w:pPr>
        <w:spacing w:after="0" w:line="360" w:lineRule="auto"/>
        <w:jc w:val="both"/>
        <w:rPr>
          <w:rFonts w:cstheme="minorHAnsi"/>
          <w:sz w:val="20"/>
          <w:szCs w:val="20"/>
        </w:rPr>
      </w:pPr>
    </w:p>
    <w:p w:rsidR="004D0E2F" w:rsidRDefault="004D0E2F" w:rsidP="004D0E2F">
      <w:pPr>
        <w:spacing w:after="0" w:line="360" w:lineRule="auto"/>
        <w:jc w:val="both"/>
        <w:rPr>
          <w:rFonts w:cstheme="minorHAnsi"/>
          <w:sz w:val="20"/>
          <w:szCs w:val="20"/>
        </w:rPr>
      </w:pPr>
    </w:p>
    <w:p w:rsidR="00753CEC" w:rsidRDefault="00753CEC" w:rsidP="004D0E2F">
      <w:pPr>
        <w:spacing w:after="0" w:line="360" w:lineRule="auto"/>
        <w:jc w:val="both"/>
        <w:rPr>
          <w:rFonts w:cstheme="minorHAnsi"/>
          <w:sz w:val="20"/>
          <w:szCs w:val="20"/>
        </w:rPr>
      </w:pPr>
    </w:p>
    <w:p w:rsidR="00753CEC" w:rsidRDefault="00753CEC" w:rsidP="004D0E2F">
      <w:pPr>
        <w:spacing w:after="0" w:line="360" w:lineRule="auto"/>
        <w:jc w:val="both"/>
        <w:rPr>
          <w:rFonts w:cstheme="minorHAnsi"/>
          <w:sz w:val="20"/>
          <w:szCs w:val="20"/>
        </w:rPr>
      </w:pPr>
    </w:p>
    <w:p w:rsidR="00753CEC" w:rsidRDefault="00753CEC" w:rsidP="004D0E2F">
      <w:pPr>
        <w:spacing w:after="0" w:line="360" w:lineRule="auto"/>
        <w:jc w:val="both"/>
        <w:rPr>
          <w:rFonts w:cstheme="minorHAnsi"/>
          <w:sz w:val="20"/>
          <w:szCs w:val="20"/>
        </w:rPr>
      </w:pPr>
    </w:p>
    <w:p w:rsidR="004D0E2F" w:rsidRDefault="004D0E2F" w:rsidP="004D0E2F">
      <w:pPr>
        <w:spacing w:after="0" w:line="360" w:lineRule="auto"/>
        <w:jc w:val="both"/>
        <w:rPr>
          <w:rFonts w:cstheme="minorHAnsi"/>
          <w:sz w:val="20"/>
          <w:szCs w:val="20"/>
        </w:rPr>
      </w:pPr>
    </w:p>
    <w:p w:rsidR="004D0E2F" w:rsidRDefault="004D0E2F" w:rsidP="004D0E2F">
      <w:pPr>
        <w:spacing w:after="0" w:line="360" w:lineRule="auto"/>
        <w:jc w:val="both"/>
        <w:rPr>
          <w:rFonts w:cstheme="minorHAnsi"/>
          <w:sz w:val="20"/>
          <w:szCs w:val="20"/>
        </w:rPr>
      </w:pPr>
    </w:p>
    <w:p w:rsidR="006C7800" w:rsidRDefault="006C7800" w:rsidP="004D0E2F">
      <w:pPr>
        <w:spacing w:after="0" w:line="360" w:lineRule="auto"/>
        <w:jc w:val="both"/>
        <w:rPr>
          <w:rFonts w:cstheme="minorHAnsi"/>
          <w:sz w:val="20"/>
          <w:szCs w:val="20"/>
        </w:rPr>
      </w:pPr>
    </w:p>
    <w:p w:rsidR="006C7800" w:rsidRDefault="006C7800" w:rsidP="004D0E2F">
      <w:pPr>
        <w:spacing w:after="0" w:line="360" w:lineRule="auto"/>
        <w:jc w:val="both"/>
        <w:rPr>
          <w:rFonts w:cstheme="minorHAnsi"/>
          <w:sz w:val="20"/>
          <w:szCs w:val="20"/>
        </w:rPr>
      </w:pPr>
    </w:p>
    <w:p w:rsidR="006C7800" w:rsidRDefault="006C7800" w:rsidP="004D0E2F">
      <w:pPr>
        <w:spacing w:after="0" w:line="360" w:lineRule="auto"/>
        <w:jc w:val="both"/>
        <w:rPr>
          <w:rFonts w:cstheme="minorHAnsi"/>
          <w:sz w:val="20"/>
          <w:szCs w:val="20"/>
        </w:rPr>
      </w:pPr>
    </w:p>
    <w:p w:rsidR="00897132" w:rsidRPr="00D61E0E" w:rsidRDefault="00897132" w:rsidP="004D0E2F">
      <w:pPr>
        <w:spacing w:after="0" w:line="360" w:lineRule="auto"/>
        <w:jc w:val="both"/>
        <w:rPr>
          <w:rFonts w:cstheme="minorHAnsi"/>
          <w:b/>
          <w:bCs/>
          <w:sz w:val="24"/>
          <w:szCs w:val="24"/>
        </w:rPr>
      </w:pPr>
      <w:r w:rsidRPr="00D61E0E">
        <w:rPr>
          <w:rFonts w:cstheme="minorHAnsi"/>
          <w:b/>
          <w:bCs/>
          <w:sz w:val="24"/>
          <w:szCs w:val="24"/>
        </w:rPr>
        <w:lastRenderedPageBreak/>
        <w:t>1. Introduction</w:t>
      </w:r>
    </w:p>
    <w:p w:rsidR="00897132" w:rsidRPr="004D0E2F" w:rsidRDefault="00897132" w:rsidP="004D0E2F">
      <w:pPr>
        <w:spacing w:after="0" w:line="360" w:lineRule="auto"/>
        <w:jc w:val="both"/>
        <w:rPr>
          <w:rFonts w:cstheme="minorHAnsi"/>
          <w:b/>
          <w:bCs/>
        </w:rPr>
      </w:pPr>
      <w:r w:rsidRPr="004D0E2F">
        <w:rPr>
          <w:rFonts w:cstheme="minorHAnsi"/>
          <w:b/>
          <w:bCs/>
        </w:rPr>
        <w:t>1.1 Motivation</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Polymer science is transforming. For decades, discovery relied on empirical approaches</w:t>
      </w:r>
      <w:r w:rsidR="00430310">
        <w:rPr>
          <w:rFonts w:cstheme="minorHAnsi"/>
          <w:sz w:val="20"/>
          <w:szCs w:val="20"/>
        </w:rPr>
        <w:t xml:space="preserve">, </w:t>
      </w:r>
      <w:r w:rsidRPr="006C7800">
        <w:rPr>
          <w:rFonts w:cstheme="minorHAnsi"/>
          <w:sz w:val="20"/>
          <w:szCs w:val="20"/>
        </w:rPr>
        <w:t>expert intuition and trial and error</w:t>
      </w:r>
      <w:r w:rsidR="00430310">
        <w:rPr>
          <w:rFonts w:cstheme="minorHAnsi"/>
          <w:sz w:val="20"/>
          <w:szCs w:val="20"/>
        </w:rPr>
        <w:t xml:space="preserve">, </w:t>
      </w:r>
      <w:r w:rsidRPr="006C7800">
        <w:rPr>
          <w:rFonts w:cstheme="minorHAnsi"/>
          <w:sz w:val="20"/>
          <w:szCs w:val="20"/>
        </w:rPr>
        <w:t>mismatched to polymer chemical space’s vast combinatorial scale and structure–processing–property complexity. Moreover, sustainable and green polymer design [3, 52, 140,149] adds urgency to developing AI tools accelerating the discovery of biodegradable, recyclable, and environmentally benign macromolecules.</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Polymer representation in machine learning is uniquely challenging due to stochastic graphs, variable-length sequences, multimodal signatures, PDE-governed morphologies, and hierarchical physics. Unlike small molecules, polymers are statistical ensembles characterized by distributions of chain lengths, sequences, tacticities, and morphologies. Properties are shaped by molecular structure, processing history, multiscale organization, and environmental context. Representations must capture chain</w:t>
      </w:r>
      <w:r w:rsidRPr="006C7800">
        <w:rPr>
          <w:rFonts w:cstheme="minorHAnsi"/>
          <w:sz w:val="20"/>
          <w:szCs w:val="20"/>
        </w:rPr>
        <w:noBreakHyphen/>
        <w:t>level physics described by classical theories [26, 27, 125] and simulation</w:t>
      </w:r>
      <w:r w:rsidRPr="006C7800">
        <w:rPr>
          <w:rFonts w:cstheme="minorHAnsi"/>
          <w:sz w:val="20"/>
          <w:szCs w:val="20"/>
        </w:rPr>
        <w:noBreakHyphen/>
        <w:t>validated dynamics [47, 87], which govern entanglement, diffusion, and viscoelasticity.</w:t>
      </w:r>
    </w:p>
    <w:p w:rsidR="00897132" w:rsidRPr="004D0E2F" w:rsidRDefault="00897132" w:rsidP="004D0E2F">
      <w:pPr>
        <w:spacing w:after="0" w:line="360" w:lineRule="auto"/>
        <w:jc w:val="both"/>
        <w:rPr>
          <w:rFonts w:cstheme="minorHAnsi"/>
          <w:b/>
          <w:bCs/>
          <w:sz w:val="20"/>
          <w:szCs w:val="20"/>
        </w:rPr>
      </w:pPr>
      <w:r w:rsidRPr="004D0E2F">
        <w:rPr>
          <w:rFonts w:cstheme="minorHAnsi"/>
          <w:b/>
          <w:bCs/>
          <w:sz w:val="20"/>
          <w:szCs w:val="20"/>
        </w:rPr>
        <w:t>Computational Challenges: Polymers present foundational problems:</w:t>
      </w:r>
    </w:p>
    <w:p w:rsidR="00897132" w:rsidRPr="006C7800" w:rsidRDefault="00897132" w:rsidP="004D0E2F">
      <w:pPr>
        <w:numPr>
          <w:ilvl w:val="0"/>
          <w:numId w:val="1"/>
        </w:numPr>
        <w:spacing w:after="0" w:line="360" w:lineRule="auto"/>
        <w:jc w:val="both"/>
        <w:rPr>
          <w:rFonts w:cstheme="minorHAnsi"/>
          <w:sz w:val="20"/>
          <w:szCs w:val="20"/>
        </w:rPr>
      </w:pPr>
      <w:r w:rsidRPr="004D0E2F">
        <w:rPr>
          <w:rFonts w:cstheme="minorHAnsi"/>
          <w:b/>
          <w:bCs/>
          <w:sz w:val="20"/>
          <w:szCs w:val="20"/>
        </w:rPr>
        <w:t>Computational Scaling Wall:</w:t>
      </w:r>
      <w:r w:rsidRPr="006C7800">
        <w:rPr>
          <w:rFonts w:cstheme="minorHAnsi"/>
          <w:sz w:val="20"/>
          <w:szCs w:val="20"/>
        </w:rPr>
        <w:t xml:space="preserve"> Small-molecule methods scale poorly for macromolecules. Full atomistic graphs become intractable, forcing short oligomers that fail to reproduce bulk behavior.</w:t>
      </w:r>
    </w:p>
    <w:p w:rsidR="00897132" w:rsidRPr="006C7800" w:rsidRDefault="00897132" w:rsidP="004D0E2F">
      <w:pPr>
        <w:numPr>
          <w:ilvl w:val="1"/>
          <w:numId w:val="1"/>
        </w:numPr>
        <w:spacing w:after="0" w:line="360" w:lineRule="auto"/>
        <w:jc w:val="both"/>
        <w:rPr>
          <w:rFonts w:cstheme="minorHAnsi"/>
          <w:sz w:val="20"/>
          <w:szCs w:val="20"/>
        </w:rPr>
      </w:pPr>
      <w:r w:rsidRPr="004D0E2F">
        <w:rPr>
          <w:rFonts w:cstheme="minorHAnsi"/>
          <w:b/>
          <w:bCs/>
          <w:sz w:val="20"/>
          <w:szCs w:val="20"/>
        </w:rPr>
        <w:t>Challeng</w:t>
      </w:r>
      <w:r w:rsidRPr="004D0E2F">
        <w:rPr>
          <w:rFonts w:cstheme="minorHAnsi"/>
          <w:b/>
          <w:bCs/>
          <w:i/>
          <w:iCs/>
          <w:sz w:val="20"/>
          <w:szCs w:val="20"/>
        </w:rPr>
        <w:t>e:</w:t>
      </w:r>
      <w:r w:rsidRPr="006C7800">
        <w:rPr>
          <w:rFonts w:cstheme="minorHAnsi"/>
          <w:sz w:val="20"/>
          <w:szCs w:val="20"/>
        </w:rPr>
        <w:t xml:space="preserve"> Designing scalable representations preserving polymer</w:t>
      </w:r>
      <w:r w:rsidRPr="006C7800">
        <w:rPr>
          <w:rFonts w:cstheme="minorHAnsi"/>
          <w:sz w:val="20"/>
          <w:szCs w:val="20"/>
        </w:rPr>
        <w:noBreakHyphen/>
        <w:t>specific physics without full atomistic resolution.</w:t>
      </w:r>
    </w:p>
    <w:p w:rsidR="00897132" w:rsidRPr="006C7800" w:rsidRDefault="00897132" w:rsidP="004D0E2F">
      <w:pPr>
        <w:numPr>
          <w:ilvl w:val="0"/>
          <w:numId w:val="1"/>
        </w:numPr>
        <w:spacing w:after="0" w:line="360" w:lineRule="auto"/>
        <w:jc w:val="both"/>
        <w:rPr>
          <w:rFonts w:cstheme="minorHAnsi"/>
          <w:sz w:val="20"/>
          <w:szCs w:val="20"/>
        </w:rPr>
      </w:pPr>
      <w:r w:rsidRPr="004D0E2F">
        <w:rPr>
          <w:rFonts w:cstheme="minorHAnsi"/>
          <w:b/>
          <w:bCs/>
          <w:sz w:val="20"/>
          <w:szCs w:val="20"/>
        </w:rPr>
        <w:t>Signal</w:t>
      </w:r>
      <w:r w:rsidRPr="004D0E2F">
        <w:rPr>
          <w:rFonts w:cstheme="minorHAnsi"/>
          <w:b/>
          <w:bCs/>
          <w:sz w:val="20"/>
          <w:szCs w:val="20"/>
        </w:rPr>
        <w:noBreakHyphen/>
        <w:t>to</w:t>
      </w:r>
      <w:r w:rsidRPr="004D0E2F">
        <w:rPr>
          <w:rFonts w:cstheme="minorHAnsi"/>
          <w:b/>
          <w:bCs/>
          <w:sz w:val="20"/>
          <w:szCs w:val="20"/>
        </w:rPr>
        <w:noBreakHyphen/>
        <w:t>Noise Bottleneck:</w:t>
      </w:r>
      <w:r w:rsidRPr="006C7800">
        <w:rPr>
          <w:rFonts w:cstheme="minorHAnsi"/>
          <w:sz w:val="20"/>
          <w:szCs w:val="20"/>
        </w:rPr>
        <w:t xml:space="preserve"> Deep learning models overemphasize local atomic detail, drowning out long</w:t>
      </w:r>
      <w:r w:rsidRPr="006C7800">
        <w:rPr>
          <w:rFonts w:cstheme="minorHAnsi"/>
          <w:sz w:val="20"/>
          <w:szCs w:val="20"/>
        </w:rPr>
        <w:noBreakHyphen/>
        <w:t>range correlations governing macroscopic properties.</w:t>
      </w:r>
    </w:p>
    <w:p w:rsidR="00897132" w:rsidRPr="006C7800" w:rsidRDefault="00897132" w:rsidP="004D0E2F">
      <w:pPr>
        <w:numPr>
          <w:ilvl w:val="1"/>
          <w:numId w:val="1"/>
        </w:numPr>
        <w:spacing w:after="0" w:line="360" w:lineRule="auto"/>
        <w:jc w:val="both"/>
        <w:rPr>
          <w:rFonts w:cstheme="minorHAnsi"/>
          <w:sz w:val="20"/>
          <w:szCs w:val="20"/>
        </w:rPr>
      </w:pPr>
      <w:r w:rsidRPr="004D0E2F">
        <w:rPr>
          <w:rFonts w:cstheme="minorHAnsi"/>
          <w:b/>
          <w:bCs/>
          <w:sz w:val="20"/>
          <w:szCs w:val="20"/>
        </w:rPr>
        <w:t>Challenge:</w:t>
      </w:r>
      <w:r w:rsidRPr="006C7800">
        <w:rPr>
          <w:rFonts w:cstheme="minorHAnsi"/>
          <w:sz w:val="20"/>
          <w:szCs w:val="20"/>
        </w:rPr>
        <w:t xml:space="preserve"> Building representations avoiding irrelevant local noise while amplifying global structural signals.</w:t>
      </w:r>
    </w:p>
    <w:p w:rsidR="00897132" w:rsidRPr="004D0E2F" w:rsidRDefault="00897132" w:rsidP="004D0E2F">
      <w:pPr>
        <w:numPr>
          <w:ilvl w:val="0"/>
          <w:numId w:val="1"/>
        </w:numPr>
        <w:spacing w:after="0" w:line="360" w:lineRule="auto"/>
        <w:jc w:val="both"/>
        <w:rPr>
          <w:rFonts w:cstheme="minorHAnsi"/>
          <w:sz w:val="20"/>
          <w:szCs w:val="20"/>
        </w:rPr>
      </w:pPr>
      <w:r w:rsidRPr="004D0E2F">
        <w:rPr>
          <w:rFonts w:cstheme="minorHAnsi"/>
          <w:b/>
          <w:bCs/>
          <w:sz w:val="20"/>
          <w:szCs w:val="20"/>
        </w:rPr>
        <w:t>Ensemble Representation:</w:t>
      </w:r>
      <w:r w:rsidRPr="004D0E2F">
        <w:rPr>
          <w:rFonts w:cstheme="minorHAnsi"/>
          <w:sz w:val="20"/>
          <w:szCs w:val="20"/>
        </w:rPr>
        <w:t xml:space="preserve"> Polymers are statistical ensembles of varying lengths, architectures, and defects, not single deterministic structures. Consequently, a polymer sample is more accurately represented by a probability distribution over discrete graphs: </w:t>
      </w:r>
      <w:r w:rsidRPr="004D0E2F">
        <w:rPr>
          <w:rFonts w:cstheme="minorHAnsi"/>
          <w:i/>
          <w:iCs/>
          <w:sz w:val="20"/>
          <w:szCs w:val="20"/>
        </w:rPr>
        <w:t>P</w:t>
      </w:r>
      <w:r w:rsidRPr="004D0E2F">
        <w:rPr>
          <w:rFonts w:cstheme="minorHAnsi"/>
          <w:sz w:val="20"/>
          <w:szCs w:val="20"/>
        </w:rPr>
        <w:t>(</w:t>
      </w:r>
      <w:r w:rsidRPr="004D0E2F">
        <w:rPr>
          <w:rFonts w:cstheme="minorHAnsi"/>
          <w:i/>
          <w:iCs/>
          <w:sz w:val="20"/>
          <w:szCs w:val="20"/>
        </w:rPr>
        <w:t>G</w:t>
      </w:r>
      <w:r w:rsidRPr="004D0E2F">
        <w:rPr>
          <w:rFonts w:ascii="Cambria Math" w:hAnsi="Cambria Math" w:cs="Cambria Math"/>
          <w:sz w:val="20"/>
          <w:szCs w:val="20"/>
        </w:rPr>
        <w:t>∣</w:t>
      </w:r>
      <w:r w:rsidRPr="004D0E2F">
        <w:rPr>
          <w:rFonts w:cstheme="minorHAnsi"/>
          <w:i/>
          <w:iCs/>
          <w:sz w:val="20"/>
          <w:szCs w:val="20"/>
        </w:rPr>
        <w:t>c</w:t>
      </w:r>
      <w:r w:rsidRPr="004D0E2F">
        <w:rPr>
          <w:rFonts w:cstheme="minorHAnsi"/>
          <w:sz w:val="20"/>
          <w:szCs w:val="20"/>
        </w:rPr>
        <w:t xml:space="preserve">), </w:t>
      </w:r>
      <w:r w:rsidR="004D0E2F" w:rsidRPr="004D0E2F">
        <w:rPr>
          <w:rFonts w:cstheme="minorHAnsi"/>
          <w:sz w:val="20"/>
          <w:szCs w:val="20"/>
        </w:rPr>
        <w:t>where G</w:t>
      </w:r>
      <w:r w:rsidR="004D0E2F" w:rsidRPr="004D0E2F">
        <w:rPr>
          <w:rFonts w:cstheme="minorHAnsi"/>
          <w:i/>
          <w:iCs/>
          <w:sz w:val="20"/>
          <w:szCs w:val="20"/>
        </w:rPr>
        <w:t xml:space="preserve"> </w:t>
      </w:r>
      <w:r w:rsidRPr="004D0E2F">
        <w:rPr>
          <w:rFonts w:cstheme="minorHAnsi"/>
          <w:sz w:val="20"/>
          <w:szCs w:val="20"/>
        </w:rPr>
        <w:t xml:space="preserve">denotes a specific molecular graph and </w:t>
      </w:r>
      <w:r w:rsidRPr="004D0E2F">
        <w:rPr>
          <w:rFonts w:cstheme="minorHAnsi"/>
          <w:i/>
          <w:iCs/>
          <w:sz w:val="20"/>
          <w:szCs w:val="20"/>
        </w:rPr>
        <w:t>c</w:t>
      </w:r>
      <w:r w:rsidR="004D0E2F">
        <w:rPr>
          <w:rFonts w:cstheme="minorHAnsi"/>
          <w:i/>
          <w:iCs/>
          <w:sz w:val="20"/>
          <w:szCs w:val="20"/>
        </w:rPr>
        <w:t xml:space="preserve"> </w:t>
      </w:r>
      <w:r w:rsidRPr="004D0E2F">
        <w:rPr>
          <w:rFonts w:cstheme="minorHAnsi"/>
          <w:sz w:val="20"/>
          <w:szCs w:val="20"/>
        </w:rPr>
        <w:t>represents the macroscopic chemical identity.</w:t>
      </w:r>
    </w:p>
    <w:p w:rsidR="00897132" w:rsidRPr="006C7800" w:rsidRDefault="00897132" w:rsidP="004D0E2F">
      <w:pPr>
        <w:numPr>
          <w:ilvl w:val="1"/>
          <w:numId w:val="1"/>
        </w:numPr>
        <w:spacing w:after="0" w:line="360" w:lineRule="auto"/>
        <w:jc w:val="both"/>
        <w:rPr>
          <w:rFonts w:cstheme="minorHAnsi"/>
          <w:sz w:val="20"/>
          <w:szCs w:val="20"/>
        </w:rPr>
      </w:pPr>
      <w:r w:rsidRPr="004D0E2F">
        <w:rPr>
          <w:rFonts w:cstheme="minorHAnsi"/>
          <w:b/>
          <w:bCs/>
          <w:sz w:val="20"/>
          <w:szCs w:val="20"/>
        </w:rPr>
        <w:t>Challenge:</w:t>
      </w:r>
      <w:r w:rsidRPr="006C7800">
        <w:rPr>
          <w:rFonts w:cstheme="minorHAnsi"/>
          <w:sz w:val="20"/>
          <w:szCs w:val="20"/>
        </w:rPr>
        <w:t xml:space="preserve"> Encoding polymer ensembles preserving sufficient statistics for accurate property prediction.</w:t>
      </w:r>
    </w:p>
    <w:p w:rsidR="00897132" w:rsidRPr="006C7800" w:rsidRDefault="00897132" w:rsidP="004D0E2F">
      <w:pPr>
        <w:numPr>
          <w:ilvl w:val="0"/>
          <w:numId w:val="1"/>
        </w:numPr>
        <w:spacing w:after="0" w:line="360" w:lineRule="auto"/>
        <w:jc w:val="both"/>
        <w:rPr>
          <w:rFonts w:cstheme="minorHAnsi"/>
          <w:sz w:val="20"/>
          <w:szCs w:val="20"/>
        </w:rPr>
      </w:pPr>
      <w:r w:rsidRPr="004D0E2F">
        <w:rPr>
          <w:rFonts w:cstheme="minorHAnsi"/>
          <w:b/>
          <w:bCs/>
          <w:sz w:val="20"/>
          <w:szCs w:val="20"/>
        </w:rPr>
        <w:t>Multiscale Integration:</w:t>
      </w:r>
      <w:r w:rsidRPr="006C7800">
        <w:rPr>
          <w:rFonts w:cstheme="minorHAnsi"/>
          <w:sz w:val="20"/>
          <w:szCs w:val="20"/>
        </w:rPr>
        <w:t xml:space="preserve"> Properties emerge from interactions across atomic, molecular, mesoscale, and macroscopic scales; no single representation spans all scales.</w:t>
      </w:r>
    </w:p>
    <w:p w:rsidR="00897132" w:rsidRPr="006C7800" w:rsidRDefault="00897132" w:rsidP="004D0E2F">
      <w:pPr>
        <w:numPr>
          <w:ilvl w:val="1"/>
          <w:numId w:val="1"/>
        </w:numPr>
        <w:spacing w:after="0" w:line="360" w:lineRule="auto"/>
        <w:jc w:val="both"/>
        <w:rPr>
          <w:rFonts w:cstheme="minorHAnsi"/>
          <w:sz w:val="20"/>
          <w:szCs w:val="20"/>
        </w:rPr>
      </w:pPr>
      <w:r w:rsidRPr="004D0E2F">
        <w:rPr>
          <w:rFonts w:cstheme="minorHAnsi"/>
          <w:b/>
          <w:bCs/>
          <w:sz w:val="20"/>
          <w:szCs w:val="20"/>
        </w:rPr>
        <w:t>Challenge:</w:t>
      </w:r>
      <w:r w:rsidRPr="006C7800">
        <w:rPr>
          <w:rFonts w:cstheme="minorHAnsi"/>
          <w:sz w:val="20"/>
          <w:szCs w:val="20"/>
        </w:rPr>
        <w:t xml:space="preserve"> Designing architectures integrating multiscale information with tractable computational complexity.</w:t>
      </w:r>
    </w:p>
    <w:p w:rsidR="00897132" w:rsidRPr="006C7800" w:rsidRDefault="00897132" w:rsidP="004D0E2F">
      <w:pPr>
        <w:numPr>
          <w:ilvl w:val="0"/>
          <w:numId w:val="1"/>
        </w:numPr>
        <w:spacing w:after="0" w:line="360" w:lineRule="auto"/>
        <w:jc w:val="both"/>
        <w:rPr>
          <w:rFonts w:cstheme="minorHAnsi"/>
          <w:sz w:val="20"/>
          <w:szCs w:val="20"/>
        </w:rPr>
      </w:pPr>
      <w:r w:rsidRPr="004D0E2F">
        <w:rPr>
          <w:rFonts w:cstheme="minorHAnsi"/>
          <w:b/>
          <w:bCs/>
          <w:sz w:val="20"/>
          <w:szCs w:val="20"/>
        </w:rPr>
        <w:t xml:space="preserve">Generalization Under Distribution Shift: </w:t>
      </w:r>
      <w:r w:rsidRPr="006C7800">
        <w:rPr>
          <w:rFonts w:cstheme="minorHAnsi"/>
          <w:sz w:val="20"/>
          <w:szCs w:val="20"/>
        </w:rPr>
        <w:t>Real</w:t>
      </w:r>
      <w:r w:rsidRPr="006C7800">
        <w:rPr>
          <w:rFonts w:cstheme="minorHAnsi"/>
          <w:sz w:val="20"/>
          <w:szCs w:val="20"/>
        </w:rPr>
        <w:noBreakHyphen/>
        <w:t>world polymer discovery violates the IID assumption. New backbones, functional groups, or processing conditions create systematic distribution shifts.</w:t>
      </w:r>
    </w:p>
    <w:p w:rsidR="00897132" w:rsidRPr="006C7800" w:rsidRDefault="00897132" w:rsidP="004D0E2F">
      <w:pPr>
        <w:numPr>
          <w:ilvl w:val="1"/>
          <w:numId w:val="1"/>
        </w:numPr>
        <w:spacing w:after="0" w:line="360" w:lineRule="auto"/>
        <w:jc w:val="both"/>
        <w:rPr>
          <w:rFonts w:cstheme="minorHAnsi"/>
          <w:sz w:val="20"/>
          <w:szCs w:val="20"/>
        </w:rPr>
      </w:pPr>
      <w:r w:rsidRPr="004D0E2F">
        <w:rPr>
          <w:rFonts w:cstheme="minorHAnsi"/>
          <w:b/>
          <w:bCs/>
          <w:sz w:val="20"/>
          <w:szCs w:val="20"/>
        </w:rPr>
        <w:t>Challenge:</w:t>
      </w:r>
      <w:r w:rsidRPr="006C7800">
        <w:rPr>
          <w:rFonts w:cstheme="minorHAnsi"/>
          <w:sz w:val="20"/>
          <w:szCs w:val="20"/>
        </w:rPr>
        <w:t xml:space="preserve"> Quantifying and mitigating generalization error when test data lie outside the training distribution.</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lastRenderedPageBreak/>
        <w:t>These are fundamental algorithmic challenges demanding new representations, architectures, and evaluation strategies. While physics</w:t>
      </w:r>
      <w:r w:rsidRPr="006C7800">
        <w:rPr>
          <w:rFonts w:cstheme="minorHAnsi"/>
          <w:sz w:val="20"/>
          <w:szCs w:val="20"/>
        </w:rPr>
        <w:noBreakHyphen/>
        <w:t>based simulations and descriptor</w:t>
      </w:r>
      <w:r w:rsidRPr="006C7800">
        <w:rPr>
          <w:rFonts w:cstheme="minorHAnsi"/>
          <w:sz w:val="20"/>
          <w:szCs w:val="20"/>
        </w:rPr>
        <w:noBreakHyphen/>
        <w:t>driven machine learning advanced understanding, they struggle with scalability, inverse design, and out</w:t>
      </w:r>
      <w:r w:rsidRPr="006C7800">
        <w:rPr>
          <w:rFonts w:cstheme="minorHAnsi"/>
          <w:sz w:val="20"/>
          <w:szCs w:val="20"/>
        </w:rPr>
        <w:noBreakHyphen/>
        <w:t>of</w:t>
      </w:r>
      <w:r w:rsidRPr="006C7800">
        <w:rPr>
          <w:rFonts w:cstheme="minorHAnsi"/>
          <w:sz w:val="20"/>
          <w:szCs w:val="20"/>
        </w:rPr>
        <w:noBreakHyphen/>
        <w:t>distribution generalization. These limitations underscore the need for learning systems reasoning over uncertainty, integrating heterogeneous modalities, and capturing causal relationships.</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Deep learning (DL) offers a promising alternative. By learning hierarchical, nonlinear mappings directly from raw data, DL can uncover structure–property–processing correlations escaping manual engineering. Its success in other domains suggests similar breakthroughs in polymer science, provided models are adapted to the domain’s unique nature. This review positions polymer informatics as a frontier testbed for next</w:t>
      </w:r>
      <w:r w:rsidRPr="006C7800">
        <w:rPr>
          <w:rFonts w:cstheme="minorHAnsi"/>
          <w:sz w:val="20"/>
          <w:szCs w:val="20"/>
        </w:rPr>
        <w:noBreakHyphen/>
        <w:t>generation machine learning, requiring advances in representation learning, multimodal fusion, and physics</w:t>
      </w:r>
      <w:r w:rsidRPr="006C7800">
        <w:rPr>
          <w:rFonts w:cstheme="minorHAnsi"/>
          <w:sz w:val="20"/>
          <w:szCs w:val="20"/>
        </w:rPr>
        <w:noBreakHyphen/>
        <w:t>based modeling.</w:t>
      </w:r>
    </w:p>
    <w:p w:rsidR="00897132" w:rsidRPr="004D0E2F" w:rsidRDefault="00897132" w:rsidP="004D0E2F">
      <w:pPr>
        <w:spacing w:before="240" w:after="0" w:line="360" w:lineRule="auto"/>
        <w:jc w:val="both"/>
        <w:rPr>
          <w:rFonts w:cstheme="minorHAnsi"/>
          <w:b/>
          <w:bCs/>
        </w:rPr>
      </w:pPr>
      <w:r w:rsidRPr="004D0E2F">
        <w:rPr>
          <w:rFonts w:cstheme="minorHAnsi"/>
          <w:b/>
          <w:bCs/>
        </w:rPr>
        <w:t>1.2 Historical Context</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Polymer informatics evolution reflects broader computational materials science trends, progressing through four methodological stages [17]:</w:t>
      </w:r>
    </w:p>
    <w:p w:rsidR="00897132" w:rsidRPr="006C7800" w:rsidRDefault="00897132" w:rsidP="004D0E2F">
      <w:pPr>
        <w:numPr>
          <w:ilvl w:val="0"/>
          <w:numId w:val="2"/>
        </w:numPr>
        <w:spacing w:after="0" w:line="360" w:lineRule="auto"/>
        <w:jc w:val="both"/>
        <w:rPr>
          <w:rFonts w:cstheme="minorHAnsi"/>
          <w:sz w:val="20"/>
          <w:szCs w:val="20"/>
        </w:rPr>
      </w:pPr>
      <w:r w:rsidRPr="004D0E2F">
        <w:rPr>
          <w:rFonts w:cstheme="minorHAnsi"/>
          <w:b/>
          <w:bCs/>
          <w:sz w:val="20"/>
          <w:szCs w:val="20"/>
        </w:rPr>
        <w:t>Analytical and Heuristic Models:</w:t>
      </w:r>
      <w:r w:rsidRPr="006C7800">
        <w:rPr>
          <w:rFonts w:cstheme="minorHAnsi"/>
          <w:sz w:val="20"/>
          <w:szCs w:val="20"/>
        </w:rPr>
        <w:t xml:space="preserve"> Early frameworks [17, 104] provided foundational thermodynamic and scaling insights but lacked predictive power for complex architectures. Group</w:t>
      </w:r>
      <w:r w:rsidRPr="006C7800">
        <w:rPr>
          <w:rFonts w:cstheme="minorHAnsi"/>
          <w:sz w:val="20"/>
          <w:szCs w:val="20"/>
        </w:rPr>
        <w:noBreakHyphen/>
        <w:t>contribution methods [10] offered initial estimates but remained insufficient for capturing multiscale, processing</w:t>
      </w:r>
      <w:r w:rsidRPr="006C7800">
        <w:rPr>
          <w:rFonts w:cstheme="minorHAnsi"/>
          <w:sz w:val="20"/>
          <w:szCs w:val="20"/>
        </w:rPr>
        <w:noBreakHyphen/>
        <w:t>dependent behavior.</w:t>
      </w:r>
    </w:p>
    <w:p w:rsidR="00897132" w:rsidRPr="006C7800" w:rsidRDefault="00897132" w:rsidP="004D0E2F">
      <w:pPr>
        <w:numPr>
          <w:ilvl w:val="0"/>
          <w:numId w:val="2"/>
        </w:numPr>
        <w:spacing w:after="0" w:line="360" w:lineRule="auto"/>
        <w:jc w:val="both"/>
        <w:rPr>
          <w:rFonts w:cstheme="minorHAnsi"/>
          <w:sz w:val="20"/>
          <w:szCs w:val="20"/>
        </w:rPr>
      </w:pPr>
      <w:r w:rsidRPr="004D0E2F">
        <w:rPr>
          <w:rFonts w:cstheme="minorHAnsi"/>
          <w:b/>
          <w:bCs/>
          <w:sz w:val="20"/>
          <w:szCs w:val="20"/>
        </w:rPr>
        <w:t>Simulation</w:t>
      </w:r>
      <w:r w:rsidRPr="004D0E2F">
        <w:rPr>
          <w:rFonts w:cstheme="minorHAnsi"/>
          <w:b/>
          <w:bCs/>
          <w:sz w:val="20"/>
          <w:szCs w:val="20"/>
        </w:rPr>
        <w:noBreakHyphen/>
        <w:t>Based Approaches:</w:t>
      </w:r>
      <w:r w:rsidRPr="006C7800">
        <w:rPr>
          <w:rFonts w:cstheme="minorHAnsi"/>
          <w:sz w:val="20"/>
          <w:szCs w:val="20"/>
        </w:rPr>
        <w:t xml:space="preserve"> Methods like molecular dynamics [2, 36] offered mechanistic understanding but were computationally intensive and difficult to scale. Foundational physics theories [24, 33] provided deep insights but remain limited for high</w:t>
      </w:r>
      <w:r w:rsidRPr="006C7800">
        <w:rPr>
          <w:rFonts w:cstheme="minorHAnsi"/>
          <w:sz w:val="20"/>
          <w:szCs w:val="20"/>
        </w:rPr>
        <w:noBreakHyphen/>
        <w:t>throughput discovery.</w:t>
      </w:r>
    </w:p>
    <w:p w:rsidR="00897132" w:rsidRPr="006C7800" w:rsidRDefault="00897132" w:rsidP="004D0E2F">
      <w:pPr>
        <w:numPr>
          <w:ilvl w:val="0"/>
          <w:numId w:val="2"/>
        </w:numPr>
        <w:spacing w:after="0" w:line="360" w:lineRule="auto"/>
        <w:jc w:val="both"/>
        <w:rPr>
          <w:rFonts w:cstheme="minorHAnsi"/>
          <w:sz w:val="20"/>
          <w:szCs w:val="20"/>
        </w:rPr>
      </w:pPr>
      <w:r w:rsidRPr="004D0E2F">
        <w:rPr>
          <w:rFonts w:cstheme="minorHAnsi"/>
          <w:b/>
          <w:bCs/>
          <w:sz w:val="20"/>
          <w:szCs w:val="20"/>
        </w:rPr>
        <w:t>Descriptor</w:t>
      </w:r>
      <w:r w:rsidRPr="004D0E2F">
        <w:rPr>
          <w:rFonts w:cstheme="minorHAnsi"/>
          <w:b/>
          <w:bCs/>
          <w:sz w:val="20"/>
          <w:szCs w:val="20"/>
        </w:rPr>
        <w:noBreakHyphen/>
        <w:t>Based Machine Learning</w:t>
      </w:r>
      <w:r w:rsidRPr="006C7800">
        <w:rPr>
          <w:rFonts w:cstheme="minorHAnsi"/>
          <w:sz w:val="20"/>
          <w:szCs w:val="20"/>
        </w:rPr>
        <w:t>: This introduced statistical modeling using engineered features, improving accuracy in specific domains but constrained by representation bias and limited transferability.</w:t>
      </w:r>
    </w:p>
    <w:p w:rsidR="00897132" w:rsidRPr="006C7800" w:rsidRDefault="00897132" w:rsidP="004D0E2F">
      <w:pPr>
        <w:numPr>
          <w:ilvl w:val="0"/>
          <w:numId w:val="2"/>
        </w:numPr>
        <w:spacing w:after="0" w:line="360" w:lineRule="auto"/>
        <w:jc w:val="both"/>
        <w:rPr>
          <w:rFonts w:cstheme="minorHAnsi"/>
          <w:sz w:val="20"/>
          <w:szCs w:val="20"/>
        </w:rPr>
      </w:pPr>
      <w:r w:rsidRPr="004D0E2F">
        <w:rPr>
          <w:rFonts w:cstheme="minorHAnsi"/>
          <w:b/>
          <w:bCs/>
          <w:sz w:val="20"/>
          <w:szCs w:val="20"/>
        </w:rPr>
        <w:t>Deep Learning:</w:t>
      </w:r>
      <w:r w:rsidRPr="006C7800">
        <w:rPr>
          <w:rFonts w:cstheme="minorHAnsi"/>
          <w:sz w:val="20"/>
          <w:szCs w:val="20"/>
        </w:rPr>
        <w:t xml:space="preserve"> This shifted the paradigm toward representation learning from raw data. Advances in convolutional networks [77], geometric deep learning [12], and general frameworks [81] transformed scientific AI, yet polymer</w:t>
      </w:r>
      <w:r w:rsidRPr="006C7800">
        <w:rPr>
          <w:rFonts w:cstheme="minorHAnsi"/>
          <w:sz w:val="20"/>
          <w:szCs w:val="20"/>
        </w:rPr>
        <w:noBreakHyphen/>
        <w:t>specific challenges demand tailored strategies.</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Despite advances [153, 165], progress is uneven. Generic architectures often struggle with polymer systems' statistical and processing</w:t>
      </w:r>
      <w:r w:rsidRPr="006C7800">
        <w:rPr>
          <w:rFonts w:cstheme="minorHAnsi"/>
          <w:sz w:val="20"/>
          <w:szCs w:val="20"/>
        </w:rPr>
        <w:noBreakHyphen/>
        <w:t>dependent nature. The most pressing bottleneck is the absence of a polymer</w:t>
      </w:r>
      <w:r w:rsidRPr="006C7800">
        <w:rPr>
          <w:rFonts w:cstheme="minorHAnsi"/>
          <w:sz w:val="20"/>
          <w:szCs w:val="20"/>
        </w:rPr>
        <w:noBreakHyphen/>
        <w:t>aware methodological foundation. These developments require rethinking how polymers are represented, modeled, and evaluated.</w:t>
      </w:r>
    </w:p>
    <w:p w:rsidR="00897132" w:rsidRPr="004D0E2F" w:rsidRDefault="00897132" w:rsidP="004D0E2F">
      <w:pPr>
        <w:spacing w:before="240" w:after="0" w:line="360" w:lineRule="auto"/>
        <w:jc w:val="both"/>
        <w:rPr>
          <w:rFonts w:cstheme="minorHAnsi"/>
          <w:b/>
          <w:bCs/>
        </w:rPr>
      </w:pPr>
      <w:r w:rsidRPr="004D0E2F">
        <w:rPr>
          <w:rFonts w:cstheme="minorHAnsi"/>
          <w:b/>
          <w:bCs/>
        </w:rPr>
        <w:t>1.3 Central Thesis and Methodological Foundations</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This review’s central thesis is that advancement in polymer deep learning depends on addressing four interconnected, domain-specific foundational challenges:</w:t>
      </w:r>
    </w:p>
    <w:p w:rsidR="00897132" w:rsidRPr="006C7800" w:rsidRDefault="00897132" w:rsidP="004D0E2F">
      <w:pPr>
        <w:numPr>
          <w:ilvl w:val="0"/>
          <w:numId w:val="3"/>
        </w:numPr>
        <w:spacing w:after="0" w:line="360" w:lineRule="auto"/>
        <w:jc w:val="both"/>
        <w:rPr>
          <w:rFonts w:cstheme="minorHAnsi"/>
          <w:sz w:val="20"/>
          <w:szCs w:val="20"/>
        </w:rPr>
      </w:pPr>
      <w:r w:rsidRPr="004D0E2F">
        <w:rPr>
          <w:rFonts w:cstheme="minorHAnsi"/>
          <w:b/>
          <w:bCs/>
          <w:sz w:val="20"/>
          <w:szCs w:val="20"/>
        </w:rPr>
        <w:t>Representation:</w:t>
      </w:r>
      <w:r w:rsidRPr="006C7800">
        <w:rPr>
          <w:rFonts w:cstheme="minorHAnsi"/>
          <w:sz w:val="20"/>
          <w:szCs w:val="20"/>
        </w:rPr>
        <w:t xml:space="preserve"> Developing unified, polymer-aware representations capturing ensemble variability and multiscale structure is essential. Computationally, this requires encodings preserving sufficient statistics while remaining tractable.</w:t>
      </w:r>
    </w:p>
    <w:p w:rsidR="00897132" w:rsidRPr="006C7800" w:rsidRDefault="00897132" w:rsidP="004D0E2F">
      <w:pPr>
        <w:numPr>
          <w:ilvl w:val="0"/>
          <w:numId w:val="3"/>
        </w:numPr>
        <w:spacing w:after="0" w:line="360" w:lineRule="auto"/>
        <w:jc w:val="both"/>
        <w:rPr>
          <w:rFonts w:cstheme="minorHAnsi"/>
          <w:sz w:val="20"/>
          <w:szCs w:val="20"/>
        </w:rPr>
      </w:pPr>
      <w:r w:rsidRPr="006C7800">
        <w:rPr>
          <w:rFonts w:cstheme="minorHAnsi"/>
          <w:sz w:val="20"/>
          <w:szCs w:val="20"/>
        </w:rPr>
        <w:lastRenderedPageBreak/>
        <w:t>Evaluation: Adopting standardized protocols is critical to ensure reproducibility. This translates to benchmarks assessing true generalization under distribution shift and data sparsity.</w:t>
      </w:r>
    </w:p>
    <w:p w:rsidR="00897132" w:rsidRPr="006C7800" w:rsidRDefault="00897132" w:rsidP="004D0E2F">
      <w:pPr>
        <w:numPr>
          <w:ilvl w:val="0"/>
          <w:numId w:val="3"/>
        </w:numPr>
        <w:spacing w:after="0" w:line="360" w:lineRule="auto"/>
        <w:jc w:val="both"/>
        <w:rPr>
          <w:rFonts w:cstheme="minorHAnsi"/>
          <w:sz w:val="20"/>
          <w:szCs w:val="20"/>
        </w:rPr>
      </w:pPr>
      <w:r w:rsidRPr="006C7800">
        <w:rPr>
          <w:rFonts w:cstheme="minorHAnsi"/>
          <w:sz w:val="20"/>
          <w:szCs w:val="20"/>
        </w:rPr>
        <w:t>Physics Integration: Integrating physics-informed modeling enhances extrapolation and interpretability. This involves incorporating domain constraints as inductive biases or regularization strategies.</w:t>
      </w:r>
    </w:p>
    <w:p w:rsidR="00897132" w:rsidRPr="006C7800" w:rsidRDefault="00897132" w:rsidP="004D0E2F">
      <w:pPr>
        <w:numPr>
          <w:ilvl w:val="0"/>
          <w:numId w:val="3"/>
        </w:numPr>
        <w:spacing w:after="0" w:line="360" w:lineRule="auto"/>
        <w:jc w:val="both"/>
        <w:rPr>
          <w:rFonts w:cstheme="minorHAnsi"/>
          <w:sz w:val="20"/>
          <w:szCs w:val="20"/>
        </w:rPr>
      </w:pPr>
      <w:r w:rsidRPr="006C7800">
        <w:rPr>
          <w:rFonts w:cstheme="minorHAnsi"/>
          <w:sz w:val="20"/>
          <w:szCs w:val="20"/>
        </w:rPr>
        <w:t>Multimodality: Fusing chemical, morphological, and processing data is necessary to reflect full system complexity. Computationally, this demands architectures capable of integrating heterogeneous data types.</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Together, these pillars define the foundation for building robust, generalizable, and trustworthy polymer AI systems.</w:t>
      </w:r>
    </w:p>
    <w:p w:rsidR="00897132" w:rsidRPr="00D61E0E" w:rsidRDefault="00897132" w:rsidP="00D61E0E">
      <w:pPr>
        <w:spacing w:before="240" w:after="0" w:line="360" w:lineRule="auto"/>
        <w:jc w:val="both"/>
        <w:rPr>
          <w:rFonts w:cstheme="minorHAnsi"/>
          <w:b/>
          <w:bCs/>
          <w:sz w:val="20"/>
          <w:szCs w:val="20"/>
        </w:rPr>
      </w:pPr>
      <w:r w:rsidRPr="00D61E0E">
        <w:rPr>
          <w:rFonts w:cstheme="minorHAnsi"/>
          <w:b/>
          <w:bCs/>
          <w:sz w:val="20"/>
          <w:szCs w:val="20"/>
        </w:rPr>
        <w:t>1.4 Distinguishing Contributions: A Critical Synthesis</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Several reviews explored ML in materials science [7,14, 56, 142]; recent surveys covered polymer deep learning, yet gaps remain:</w:t>
      </w:r>
    </w:p>
    <w:p w:rsidR="00897132" w:rsidRPr="006C7800" w:rsidRDefault="00897132" w:rsidP="004D0E2F">
      <w:pPr>
        <w:numPr>
          <w:ilvl w:val="0"/>
          <w:numId w:val="4"/>
        </w:numPr>
        <w:spacing w:after="0" w:line="360" w:lineRule="auto"/>
        <w:jc w:val="both"/>
        <w:rPr>
          <w:rFonts w:cstheme="minorHAnsi"/>
          <w:sz w:val="20"/>
          <w:szCs w:val="20"/>
        </w:rPr>
      </w:pPr>
      <w:r w:rsidRPr="00D61E0E">
        <w:rPr>
          <w:rFonts w:cstheme="minorHAnsi"/>
          <w:b/>
          <w:bCs/>
          <w:sz w:val="20"/>
          <w:szCs w:val="20"/>
        </w:rPr>
        <w:t>Long et al. (2025)</w:t>
      </w:r>
      <w:r w:rsidRPr="006C7800">
        <w:rPr>
          <w:rFonts w:cstheme="minorHAnsi"/>
          <w:sz w:val="20"/>
          <w:szCs w:val="20"/>
        </w:rPr>
        <w:t xml:space="preserve"> [88] provide a comprehensive overview but lack architectural nuances or physically grounded evaluation.</w:t>
      </w:r>
    </w:p>
    <w:p w:rsidR="00897132" w:rsidRPr="006C7800" w:rsidRDefault="00897132" w:rsidP="004D0E2F">
      <w:pPr>
        <w:numPr>
          <w:ilvl w:val="0"/>
          <w:numId w:val="4"/>
        </w:numPr>
        <w:spacing w:after="0" w:line="360" w:lineRule="auto"/>
        <w:jc w:val="both"/>
        <w:rPr>
          <w:rFonts w:cstheme="minorHAnsi"/>
          <w:sz w:val="20"/>
          <w:szCs w:val="20"/>
        </w:rPr>
      </w:pPr>
      <w:r w:rsidRPr="00D61E0E">
        <w:rPr>
          <w:rFonts w:cstheme="minorHAnsi"/>
          <w:b/>
          <w:bCs/>
          <w:sz w:val="20"/>
          <w:szCs w:val="20"/>
        </w:rPr>
        <w:t>Li et al. (2024)</w:t>
      </w:r>
      <w:r w:rsidRPr="006C7800">
        <w:rPr>
          <w:rFonts w:cstheme="minorHAnsi"/>
          <w:sz w:val="20"/>
          <w:szCs w:val="20"/>
        </w:rPr>
        <w:t xml:space="preserve"> [83] offer a foundational introduction but miss recent architectural advances and polymer structural particularities.</w:t>
      </w:r>
    </w:p>
    <w:p w:rsidR="00897132" w:rsidRPr="006C7800" w:rsidRDefault="00897132" w:rsidP="004D0E2F">
      <w:pPr>
        <w:numPr>
          <w:ilvl w:val="0"/>
          <w:numId w:val="4"/>
        </w:numPr>
        <w:spacing w:after="0" w:line="360" w:lineRule="auto"/>
        <w:jc w:val="both"/>
        <w:rPr>
          <w:rFonts w:cstheme="minorHAnsi"/>
          <w:sz w:val="20"/>
          <w:szCs w:val="20"/>
        </w:rPr>
      </w:pPr>
      <w:r w:rsidRPr="00D61E0E">
        <w:rPr>
          <w:rFonts w:cstheme="minorHAnsi"/>
          <w:b/>
          <w:bCs/>
          <w:sz w:val="20"/>
          <w:szCs w:val="20"/>
        </w:rPr>
        <w:t>Ashok et al. (2024)</w:t>
      </w:r>
      <w:r w:rsidRPr="006C7800">
        <w:rPr>
          <w:rFonts w:cstheme="minorHAnsi"/>
          <w:sz w:val="20"/>
          <w:szCs w:val="20"/>
        </w:rPr>
        <w:t xml:space="preserve"> [6] highlight data repositories and hybrid techniques but offer minimal engagement with deep learning paradigms.</w:t>
      </w:r>
    </w:p>
    <w:p w:rsidR="00897132" w:rsidRPr="006C7800" w:rsidRDefault="00897132" w:rsidP="004D0E2F">
      <w:pPr>
        <w:numPr>
          <w:ilvl w:val="0"/>
          <w:numId w:val="4"/>
        </w:numPr>
        <w:spacing w:after="0" w:line="360" w:lineRule="auto"/>
        <w:jc w:val="both"/>
        <w:rPr>
          <w:rFonts w:cstheme="minorHAnsi"/>
          <w:sz w:val="20"/>
          <w:szCs w:val="20"/>
        </w:rPr>
      </w:pPr>
      <w:r w:rsidRPr="00D61E0E">
        <w:rPr>
          <w:rFonts w:cstheme="minorHAnsi"/>
          <w:b/>
          <w:bCs/>
          <w:sz w:val="20"/>
          <w:szCs w:val="20"/>
        </w:rPr>
        <w:t>Xu et al. (2025)</w:t>
      </w:r>
      <w:r w:rsidRPr="006C7800">
        <w:rPr>
          <w:rFonts w:cstheme="minorHAnsi"/>
          <w:sz w:val="20"/>
          <w:szCs w:val="20"/>
        </w:rPr>
        <w:t xml:space="preserve"> [155] emphasize data-efficient learning but center narrowly on specific design aspects.</w:t>
      </w:r>
    </w:p>
    <w:p w:rsidR="00897132" w:rsidRPr="006C7800" w:rsidRDefault="00897132" w:rsidP="004D0E2F">
      <w:pPr>
        <w:numPr>
          <w:ilvl w:val="0"/>
          <w:numId w:val="4"/>
        </w:numPr>
        <w:spacing w:after="0" w:line="360" w:lineRule="auto"/>
        <w:jc w:val="both"/>
        <w:rPr>
          <w:rFonts w:cstheme="minorHAnsi"/>
          <w:sz w:val="20"/>
          <w:szCs w:val="20"/>
        </w:rPr>
      </w:pPr>
      <w:r w:rsidRPr="00D61E0E">
        <w:rPr>
          <w:rFonts w:cstheme="minorHAnsi"/>
          <w:b/>
          <w:bCs/>
          <w:sz w:val="20"/>
          <w:szCs w:val="20"/>
        </w:rPr>
        <w:t>Fernandes (2025)</w:t>
      </w:r>
      <w:r w:rsidRPr="006C7800">
        <w:rPr>
          <w:rFonts w:cstheme="minorHAnsi"/>
          <w:sz w:val="20"/>
          <w:szCs w:val="20"/>
        </w:rPr>
        <w:t xml:space="preserve"> [31] outlines scientific DL but offers limited depth on architectures or benchmarks.</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Building on these, this review advances the field in five ways:</w:t>
      </w:r>
    </w:p>
    <w:p w:rsidR="00897132" w:rsidRPr="006C7800" w:rsidRDefault="00897132" w:rsidP="004D0E2F">
      <w:pPr>
        <w:numPr>
          <w:ilvl w:val="0"/>
          <w:numId w:val="5"/>
        </w:numPr>
        <w:spacing w:after="0" w:line="360" w:lineRule="auto"/>
        <w:jc w:val="both"/>
        <w:rPr>
          <w:rFonts w:cstheme="minorHAnsi"/>
          <w:sz w:val="20"/>
          <w:szCs w:val="20"/>
        </w:rPr>
      </w:pPr>
      <w:r w:rsidRPr="006C7800">
        <w:rPr>
          <w:rFonts w:cstheme="minorHAnsi"/>
          <w:sz w:val="20"/>
          <w:szCs w:val="20"/>
        </w:rPr>
        <w:t>A Coherent Methodological Framework: We integrate representation, evaluation, physics integration, and multimodality into a unified framework.</w:t>
      </w:r>
    </w:p>
    <w:p w:rsidR="00897132" w:rsidRPr="006C7800" w:rsidRDefault="00897132" w:rsidP="004D0E2F">
      <w:pPr>
        <w:numPr>
          <w:ilvl w:val="0"/>
          <w:numId w:val="5"/>
        </w:numPr>
        <w:spacing w:after="0" w:line="360" w:lineRule="auto"/>
        <w:jc w:val="both"/>
        <w:rPr>
          <w:rFonts w:cstheme="minorHAnsi"/>
          <w:sz w:val="20"/>
          <w:szCs w:val="20"/>
        </w:rPr>
      </w:pPr>
      <w:r w:rsidRPr="006C7800">
        <w:rPr>
          <w:rFonts w:cstheme="minorHAnsi"/>
          <w:sz w:val="20"/>
          <w:szCs w:val="20"/>
        </w:rPr>
        <w:t>A Task</w:t>
      </w:r>
      <w:r w:rsidRPr="006C7800">
        <w:rPr>
          <w:rFonts w:cstheme="minorHAnsi"/>
          <w:sz w:val="20"/>
          <w:szCs w:val="20"/>
        </w:rPr>
        <w:noBreakHyphen/>
        <w:t xml:space="preserve"> and Physics</w:t>
      </w:r>
      <w:r w:rsidRPr="006C7800">
        <w:rPr>
          <w:rFonts w:cstheme="minorHAnsi"/>
          <w:sz w:val="20"/>
          <w:szCs w:val="20"/>
        </w:rPr>
        <w:noBreakHyphen/>
        <w:t>Aligned Taxonomy: We organize polymer encodings into a framework evaluated on learnability and physical fidelity.</w:t>
      </w:r>
    </w:p>
    <w:p w:rsidR="00897132" w:rsidRPr="006C7800" w:rsidRDefault="00897132" w:rsidP="004D0E2F">
      <w:pPr>
        <w:numPr>
          <w:ilvl w:val="0"/>
          <w:numId w:val="5"/>
        </w:numPr>
        <w:spacing w:after="0" w:line="360" w:lineRule="auto"/>
        <w:jc w:val="both"/>
        <w:rPr>
          <w:rFonts w:cstheme="minorHAnsi"/>
          <w:sz w:val="20"/>
          <w:szCs w:val="20"/>
        </w:rPr>
      </w:pPr>
      <w:r w:rsidRPr="006C7800">
        <w:rPr>
          <w:rFonts w:cstheme="minorHAnsi"/>
          <w:sz w:val="20"/>
          <w:szCs w:val="20"/>
        </w:rPr>
        <w:t>A Critical Analysis of the Modeling Pipeline: We assess architectures through their alignment with polymer modalities, highlighting failure modes like distribution shift.</w:t>
      </w:r>
    </w:p>
    <w:p w:rsidR="00897132" w:rsidRPr="006C7800" w:rsidRDefault="00897132" w:rsidP="004D0E2F">
      <w:pPr>
        <w:numPr>
          <w:ilvl w:val="0"/>
          <w:numId w:val="5"/>
        </w:numPr>
        <w:spacing w:after="0" w:line="360" w:lineRule="auto"/>
        <w:jc w:val="both"/>
        <w:rPr>
          <w:rFonts w:cstheme="minorHAnsi"/>
          <w:sz w:val="20"/>
          <w:szCs w:val="20"/>
        </w:rPr>
      </w:pPr>
      <w:r w:rsidRPr="006C7800">
        <w:rPr>
          <w:rFonts w:cstheme="minorHAnsi"/>
          <w:sz w:val="20"/>
          <w:szCs w:val="20"/>
        </w:rPr>
        <w:t>Actionable Guidelines: We identify gaps in curation and validation, consolidating practical recommendations for reproducible validation.</w:t>
      </w:r>
    </w:p>
    <w:p w:rsidR="00897132" w:rsidRPr="006C7800" w:rsidRDefault="00897132" w:rsidP="004D0E2F">
      <w:pPr>
        <w:numPr>
          <w:ilvl w:val="0"/>
          <w:numId w:val="5"/>
        </w:numPr>
        <w:spacing w:after="0" w:line="360" w:lineRule="auto"/>
        <w:jc w:val="both"/>
        <w:rPr>
          <w:rFonts w:cstheme="minorHAnsi"/>
          <w:sz w:val="20"/>
          <w:szCs w:val="20"/>
        </w:rPr>
      </w:pPr>
      <w:r w:rsidRPr="006C7800">
        <w:rPr>
          <w:rFonts w:cstheme="minorHAnsi"/>
          <w:sz w:val="20"/>
          <w:szCs w:val="20"/>
        </w:rPr>
        <w:t>An Integrated Roadmap: We outline a research agenda focused on open benchmarks, physics</w:t>
      </w:r>
      <w:r w:rsidRPr="006C7800">
        <w:rPr>
          <w:rFonts w:cstheme="minorHAnsi"/>
          <w:sz w:val="20"/>
          <w:szCs w:val="20"/>
        </w:rPr>
        <w:noBreakHyphen/>
        <w:t>informed models, and closed</w:t>
      </w:r>
      <w:r w:rsidRPr="006C7800">
        <w:rPr>
          <w:rFonts w:cstheme="minorHAnsi"/>
          <w:sz w:val="20"/>
          <w:szCs w:val="20"/>
        </w:rPr>
        <w:noBreakHyphen/>
        <w:t>loop frameworks.</w:t>
      </w:r>
    </w:p>
    <w:p w:rsidR="00897132" w:rsidRPr="00D61E0E" w:rsidRDefault="00897132" w:rsidP="00D61E0E">
      <w:pPr>
        <w:spacing w:before="240" w:after="0" w:line="360" w:lineRule="auto"/>
        <w:jc w:val="both"/>
        <w:rPr>
          <w:rFonts w:cstheme="minorHAnsi"/>
          <w:b/>
          <w:bCs/>
        </w:rPr>
      </w:pPr>
      <w:r w:rsidRPr="00D61E0E">
        <w:rPr>
          <w:rFonts w:cstheme="minorHAnsi"/>
          <w:b/>
          <w:bCs/>
        </w:rPr>
        <w:t>1.5 Scope and Structure of This Review</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This review is organized around the four pillars, critically examining how methods address polymeric materials' nature:</w:t>
      </w:r>
    </w:p>
    <w:p w:rsidR="00897132" w:rsidRPr="006C7800" w:rsidRDefault="00897132" w:rsidP="004D0E2F">
      <w:pPr>
        <w:numPr>
          <w:ilvl w:val="0"/>
          <w:numId w:val="6"/>
        </w:numPr>
        <w:spacing w:after="0" w:line="360" w:lineRule="auto"/>
        <w:jc w:val="both"/>
        <w:rPr>
          <w:rFonts w:cstheme="minorHAnsi"/>
          <w:sz w:val="20"/>
          <w:szCs w:val="20"/>
        </w:rPr>
      </w:pPr>
      <w:r w:rsidRPr="006C7800">
        <w:rPr>
          <w:rFonts w:cstheme="minorHAnsi"/>
          <w:sz w:val="20"/>
          <w:szCs w:val="20"/>
        </w:rPr>
        <w:t>Section 2 surveys representation strategies (string</w:t>
      </w:r>
      <w:r w:rsidRPr="006C7800">
        <w:rPr>
          <w:rFonts w:cstheme="minorHAnsi"/>
          <w:sz w:val="20"/>
          <w:szCs w:val="20"/>
        </w:rPr>
        <w:noBreakHyphen/>
        <w:t>based encodings, graph</w:t>
      </w:r>
      <w:r w:rsidRPr="006C7800">
        <w:rPr>
          <w:rFonts w:cstheme="minorHAnsi"/>
          <w:sz w:val="20"/>
          <w:szCs w:val="20"/>
        </w:rPr>
        <w:noBreakHyphen/>
        <w:t>based models, multimodal descriptors).</w:t>
      </w:r>
    </w:p>
    <w:p w:rsidR="00897132" w:rsidRPr="006C7800" w:rsidRDefault="00897132" w:rsidP="004D0E2F">
      <w:pPr>
        <w:numPr>
          <w:ilvl w:val="0"/>
          <w:numId w:val="6"/>
        </w:numPr>
        <w:spacing w:after="0" w:line="360" w:lineRule="auto"/>
        <w:jc w:val="both"/>
        <w:rPr>
          <w:rFonts w:cstheme="minorHAnsi"/>
          <w:sz w:val="20"/>
          <w:szCs w:val="20"/>
        </w:rPr>
      </w:pPr>
      <w:r w:rsidRPr="006C7800">
        <w:rPr>
          <w:rFonts w:cstheme="minorHAnsi"/>
          <w:sz w:val="20"/>
          <w:szCs w:val="20"/>
        </w:rPr>
        <w:lastRenderedPageBreak/>
        <w:t>Section 3 analyzes architectures (GNNs, transformers, generative models, physics</w:t>
      </w:r>
      <w:r w:rsidRPr="006C7800">
        <w:rPr>
          <w:rFonts w:cstheme="minorHAnsi"/>
          <w:sz w:val="20"/>
          <w:szCs w:val="20"/>
        </w:rPr>
        <w:noBreakHyphen/>
        <w:t>informed networks) regarding task alignment.</w:t>
      </w:r>
    </w:p>
    <w:p w:rsidR="00897132" w:rsidRPr="006C7800" w:rsidRDefault="00897132" w:rsidP="004D0E2F">
      <w:pPr>
        <w:numPr>
          <w:ilvl w:val="0"/>
          <w:numId w:val="6"/>
        </w:numPr>
        <w:spacing w:after="0" w:line="360" w:lineRule="auto"/>
        <w:jc w:val="both"/>
        <w:rPr>
          <w:rFonts w:cstheme="minorHAnsi"/>
          <w:sz w:val="20"/>
          <w:szCs w:val="20"/>
        </w:rPr>
      </w:pPr>
      <w:r w:rsidRPr="006C7800">
        <w:rPr>
          <w:rFonts w:cstheme="minorHAnsi"/>
          <w:sz w:val="20"/>
          <w:szCs w:val="20"/>
        </w:rPr>
        <w:t>Section 4 evaluates benchmarking practices, highlighting gaps in curation, splitting, metrics, and uncertainty.</w:t>
      </w:r>
    </w:p>
    <w:p w:rsidR="00897132" w:rsidRPr="006C7800" w:rsidRDefault="00897132" w:rsidP="004D0E2F">
      <w:pPr>
        <w:numPr>
          <w:ilvl w:val="0"/>
          <w:numId w:val="6"/>
        </w:numPr>
        <w:spacing w:after="0" w:line="360" w:lineRule="auto"/>
        <w:jc w:val="both"/>
        <w:rPr>
          <w:rFonts w:cstheme="minorHAnsi"/>
          <w:sz w:val="20"/>
          <w:szCs w:val="20"/>
        </w:rPr>
      </w:pPr>
      <w:r w:rsidRPr="006C7800">
        <w:rPr>
          <w:rFonts w:cstheme="minorHAnsi"/>
          <w:sz w:val="20"/>
          <w:szCs w:val="20"/>
        </w:rPr>
        <w:t>Section 5 presents case studies illustrating the interplay of task, representation, and architecture.</w:t>
      </w:r>
    </w:p>
    <w:p w:rsidR="00897132" w:rsidRPr="006C7800" w:rsidRDefault="00897132" w:rsidP="004D0E2F">
      <w:pPr>
        <w:numPr>
          <w:ilvl w:val="0"/>
          <w:numId w:val="6"/>
        </w:numPr>
        <w:spacing w:after="0" w:line="360" w:lineRule="auto"/>
        <w:jc w:val="both"/>
        <w:rPr>
          <w:rFonts w:cstheme="minorHAnsi"/>
          <w:sz w:val="20"/>
          <w:szCs w:val="20"/>
        </w:rPr>
      </w:pPr>
      <w:r w:rsidRPr="006C7800">
        <w:rPr>
          <w:rFonts w:cstheme="minorHAnsi"/>
          <w:sz w:val="20"/>
          <w:szCs w:val="20"/>
        </w:rPr>
        <w:t>Section 6 concludes with a roadmap for robust, interpretable, physically grounded polymer AI systems.</w:t>
      </w:r>
    </w:p>
    <w:p w:rsidR="00897132" w:rsidRPr="00D61E0E" w:rsidRDefault="00897132" w:rsidP="00D61E0E">
      <w:pPr>
        <w:spacing w:before="240" w:after="0" w:line="360" w:lineRule="auto"/>
        <w:jc w:val="both"/>
        <w:rPr>
          <w:rFonts w:cstheme="minorHAnsi"/>
          <w:b/>
          <w:bCs/>
          <w:sz w:val="24"/>
          <w:szCs w:val="24"/>
        </w:rPr>
      </w:pPr>
      <w:r w:rsidRPr="00D61E0E">
        <w:rPr>
          <w:rFonts w:cstheme="minorHAnsi"/>
          <w:b/>
          <w:bCs/>
          <w:sz w:val="24"/>
          <w:szCs w:val="24"/>
        </w:rPr>
        <w:t>2. Polymer Representations for Deep Learning</w:t>
      </w:r>
    </w:p>
    <w:p w:rsidR="00897132" w:rsidRDefault="00897132" w:rsidP="00D61E0E">
      <w:pPr>
        <w:spacing w:before="240" w:after="0" w:line="360" w:lineRule="auto"/>
        <w:jc w:val="both"/>
        <w:rPr>
          <w:rFonts w:cstheme="minorHAnsi"/>
          <w:sz w:val="20"/>
          <w:szCs w:val="20"/>
        </w:rPr>
      </w:pPr>
      <w:r w:rsidRPr="006C7800">
        <w:rPr>
          <w:rFonts w:cstheme="minorHAnsi"/>
          <w:sz w:val="20"/>
          <w:szCs w:val="20"/>
        </w:rPr>
        <w:t>Polymers differ from small molecules by lacking a single, well-defined structure. A polymer sample contains an ensemble of chains with varying lengths, sequences, compositions, and architectures. A copolymer from monomers A, B, and C yields many arrangements even under identical reaction conditions. This heterogeneity means representations must capture both (i) individual chain structure and (ii) ensemble statistical properties, creating a gap between small-molecule and polymer machine learning. Figure 1 illustrates this variability.</w:t>
      </w:r>
    </w:p>
    <w:p w:rsidR="004C7EFD" w:rsidRDefault="00753CEC" w:rsidP="00753CEC">
      <w:pPr>
        <w:spacing w:after="0" w:line="360" w:lineRule="auto"/>
        <w:jc w:val="center"/>
        <w:rPr>
          <w:rFonts w:cstheme="minorHAnsi"/>
          <w:sz w:val="20"/>
          <w:szCs w:val="20"/>
        </w:rPr>
      </w:pPr>
      <w:r w:rsidRPr="00DE4DC4">
        <w:rPr>
          <w:noProof/>
        </w:rPr>
        <mc:AlternateContent>
          <mc:Choice Requires="wps">
            <w:drawing>
              <wp:anchor distT="0" distB="0" distL="114300" distR="114300" simplePos="0" relativeHeight="251661312" behindDoc="0" locked="0" layoutInCell="1" allowOverlap="1" wp14:anchorId="078B8702" wp14:editId="0EC6FDB8">
                <wp:simplePos x="0" y="0"/>
                <wp:positionH relativeFrom="margin">
                  <wp:posOffset>790575</wp:posOffset>
                </wp:positionH>
                <wp:positionV relativeFrom="paragraph">
                  <wp:posOffset>1355725</wp:posOffset>
                </wp:positionV>
                <wp:extent cx="5259705" cy="55245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5259705" cy="552450"/>
                        </a:xfrm>
                        <a:prstGeom prst="rect">
                          <a:avLst/>
                        </a:prstGeom>
                        <a:solidFill>
                          <a:schemeClr val="lt1"/>
                        </a:solidFill>
                        <a:ln w="6350">
                          <a:noFill/>
                        </a:ln>
                      </wps:spPr>
                      <wps:txbx>
                        <w:txbxContent>
                          <w:p w:rsidR="005562ED" w:rsidRPr="004C7EFD" w:rsidRDefault="005562ED" w:rsidP="004C7EFD">
                            <w:pPr>
                              <w:rPr>
                                <w:rFonts w:cstheme="minorHAnsi"/>
                                <w:sz w:val="18"/>
                                <w:szCs w:val="18"/>
                              </w:rPr>
                            </w:pPr>
                            <w:r w:rsidRPr="004C7EFD">
                              <w:rPr>
                                <w:rFonts w:cstheme="minorHAnsi"/>
                                <w:b/>
                                <w:bCs/>
                                <w:sz w:val="18"/>
                                <w:szCs w:val="18"/>
                              </w:rPr>
                              <w:t>Figure 1.</w:t>
                            </w:r>
                            <w:r w:rsidRPr="004C7EFD">
                              <w:rPr>
                                <w:rFonts w:cstheme="minorHAnsi"/>
                                <w:sz w:val="18"/>
                                <w:szCs w:val="18"/>
                              </w:rPr>
                              <w:t xml:space="preserve"> The stochastic ensemble nature of a single polymer system. A polymer is an ensemble of diverse chains that collectively define the material. Even when synthesized from the same monomer library, the resulting system exhibits inherent variability in chain size, sequence, composition, and architecture.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8B8702" id="_x0000_t202" coordsize="21600,21600" o:spt="202" path="m,l,21600r21600,l21600,xe">
                <v:stroke joinstyle="miter"/>
                <v:path gradientshapeok="t" o:connecttype="rect"/>
              </v:shapetype>
              <v:shape id="Text Box 21" o:spid="_x0000_s1026" type="#_x0000_t202" style="position:absolute;left:0;text-align:left;margin-left:62.25pt;margin-top:106.75pt;width:414.15pt;height:4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HqBQgIAAHsEAAAOAAAAZHJzL2Uyb0RvYy54bWysVE1v2zAMvQ/YfxB0X51kcT+COEXWIsOA&#10;oC2QDj0rspwYkEVNUmJnv35PcpJ23U7DLjJFUvx4j/T0tms02yvnazIFH14MOFNGUlmbTcG/Py8+&#10;XXPmgzCl0GRUwQ/K89vZxw/T1k7UiLakS+UYghg/aW3BtyHYSZZ5uVWN8BdklYGxIteIgKvbZKUT&#10;LaI3OhsNBpdZS660jqTyHtr73shnKX5VKRkeq8qrwHTBUVtIp0vnOp7ZbComGyfstpbHMsQ/VNGI&#10;2iDpOdS9CILtXP1HqKaWjjxV4UJSk1FV1VKlHtDNcPCum9VWWJV6ATjenmHy/y+sfNg/OVaXBR8N&#10;OTOiAUfPqgvsC3UMKuDTWj+B28rCMXTQg+eT3kMZ2+4q18QvGmKwA+nDGd0YTUKZj/Kbq0HOmYQt&#10;z0fjPMGfvb62zoevihoWhYI7sJdAFfulD6gErieXmMyTrstFrXW6xIlRd9qxvQDXOqQa8eI3L21Y&#10;W/DLz0gdHxmKz/vI2iBB7LXvKUqhW3dHANZUHtC/o36CvJWLGkUuhQ9PwmFk0DLWIDziqDQhCR0l&#10;zrbkfv5NH/3BJKyctRjBgvsfO+EUZ/qbAcc3w/E4zmy6jPOrES7urWX91mJ2zR2hc9CI6pIY/YM+&#10;iZWj5gXbMo9ZYRJGInfBw0m8C/1iYNukms+TE6bUirA0Kytj6AhapOC5exHOHnkKYPiBTsMqJu/o&#10;6n17uOe7QFWduIwA96gecceEJ4qP2xhX6O09eb3+M2a/AAAA//8DAFBLAwQUAAYACAAAACEAdfr1&#10;YeAAAAALAQAADwAAAGRycy9kb3ducmV2LnhtbEyPS0+EMBDH7yZ+h2ZMvBi3XRAfSNkY4yPx5uIj&#10;3rp0BCKdEtoF/PaOJ73NP/PL/1FsFteLCcfQedKwXikQSLW3HTUaXqr700sQIRqypveEGr4xwKY8&#10;PChMbv1MzzhtYyPYhEJuNLQxDrmUoW7RmbDyAxL/Pv3oTGQ5NtKOZmZz18tEqXPpTEec0JoBb1us&#10;v7Z7p+HjpHl/CsvD65xm6XD3OFUXb7bS+vhoubkGEXGJfzD81ufqUHKnnd+TDaJnnZxljGpI1ikf&#10;TFxlCY/ZaUiVykCWhfy/ofwBAAD//wMAUEsBAi0AFAAGAAgAAAAhALaDOJL+AAAA4QEAABMAAAAA&#10;AAAAAAAAAAAAAAAAAFtDb250ZW50X1R5cGVzXS54bWxQSwECLQAUAAYACAAAACEAOP0h/9YAAACU&#10;AQAACwAAAAAAAAAAAAAAAAAvAQAAX3JlbHMvLnJlbHNQSwECLQAUAAYACAAAACEAmsh6gUICAAB7&#10;BAAADgAAAAAAAAAAAAAAAAAuAgAAZHJzL2Uyb0RvYy54bWxQSwECLQAUAAYACAAAACEAdfr1YeAA&#10;AAALAQAADwAAAAAAAAAAAAAAAACcBAAAZHJzL2Rvd25yZXYueG1sUEsFBgAAAAAEAAQA8wAAAKkF&#10;AAAAAA==&#10;" fillcolor="white [3201]" stroked="f" strokeweight=".5pt">
                <v:textbox>
                  <w:txbxContent>
                    <w:p w:rsidR="005562ED" w:rsidRPr="004C7EFD" w:rsidRDefault="005562ED" w:rsidP="004C7EFD">
                      <w:pPr>
                        <w:rPr>
                          <w:rFonts w:cstheme="minorHAnsi"/>
                          <w:sz w:val="18"/>
                          <w:szCs w:val="18"/>
                        </w:rPr>
                      </w:pPr>
                      <w:r w:rsidRPr="004C7EFD">
                        <w:rPr>
                          <w:rFonts w:cstheme="minorHAnsi"/>
                          <w:b/>
                          <w:bCs/>
                          <w:sz w:val="18"/>
                          <w:szCs w:val="18"/>
                        </w:rPr>
                        <w:t>Figure 1.</w:t>
                      </w:r>
                      <w:r w:rsidRPr="004C7EFD">
                        <w:rPr>
                          <w:rFonts w:cstheme="minorHAnsi"/>
                          <w:sz w:val="18"/>
                          <w:szCs w:val="18"/>
                        </w:rPr>
                        <w:t xml:space="preserve"> The stochastic ensemble nature of a single polymer system. A polymer is an ensemble of diverse chains that collectively define the material. Even when synthesized from the same monomer library, the resulting system exhibits inherent variability in chain size, sequence, composition, and architecture.</w:t>
                      </w:r>
                    </w:p>
                  </w:txbxContent>
                </v:textbox>
                <w10:wrap anchorx="margin"/>
              </v:shape>
            </w:pict>
          </mc:Fallback>
        </mc:AlternateContent>
      </w:r>
      <w:r w:rsidR="004C7EFD" w:rsidRPr="00DE4DC4">
        <w:rPr>
          <w:rFonts w:asciiTheme="majorBidi" w:hAnsiTheme="majorBidi" w:cstheme="majorBidi"/>
          <w:noProof/>
        </w:rPr>
        <w:drawing>
          <wp:inline distT="0" distB="0" distL="0" distR="0" wp14:anchorId="4C04C926" wp14:editId="6EA58D92">
            <wp:extent cx="3600450" cy="1295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18083" cy="1301744"/>
                    </a:xfrm>
                    <a:prstGeom prst="rect">
                      <a:avLst/>
                    </a:prstGeom>
                    <a:noFill/>
                  </pic:spPr>
                </pic:pic>
              </a:graphicData>
            </a:graphic>
          </wp:inline>
        </w:drawing>
      </w:r>
    </w:p>
    <w:p w:rsidR="004C7EFD" w:rsidRPr="006C7800" w:rsidRDefault="004C7EFD" w:rsidP="00D61E0E">
      <w:pPr>
        <w:spacing w:before="240" w:after="0" w:line="360" w:lineRule="auto"/>
        <w:jc w:val="both"/>
        <w:rPr>
          <w:rFonts w:cstheme="minorHAnsi"/>
          <w:sz w:val="20"/>
          <w:szCs w:val="20"/>
        </w:rPr>
      </w:pPr>
    </w:p>
    <w:p w:rsidR="004C7EFD" w:rsidRDefault="004C7EFD" w:rsidP="004C7EFD">
      <w:pPr>
        <w:spacing w:after="0" w:line="360" w:lineRule="auto"/>
        <w:jc w:val="both"/>
        <w:rPr>
          <w:rFonts w:cstheme="minorHAnsi"/>
          <w:b/>
          <w:bCs/>
        </w:rPr>
      </w:pPr>
    </w:p>
    <w:p w:rsidR="004C7EFD" w:rsidRDefault="00897132" w:rsidP="004C7EFD">
      <w:pPr>
        <w:spacing w:before="240" w:after="0" w:line="360" w:lineRule="auto"/>
        <w:jc w:val="both"/>
        <w:rPr>
          <w:rFonts w:cstheme="minorHAnsi"/>
          <w:sz w:val="20"/>
          <w:szCs w:val="20"/>
        </w:rPr>
      </w:pPr>
      <w:r w:rsidRPr="004C7EFD">
        <w:rPr>
          <w:rFonts w:cstheme="minorHAnsi"/>
          <w:b/>
          <w:bCs/>
        </w:rPr>
        <w:t>2.1 Sequence Based Representations</w:t>
      </w:r>
      <w:r w:rsidRPr="006C7800">
        <w:rPr>
          <w:rFonts w:cstheme="minorHAnsi"/>
          <w:sz w:val="20"/>
          <w:szCs w:val="20"/>
        </w:rPr>
        <w:t xml:space="preserve"> </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Sequence-based representations [76,103,148] linearize molecular graphs into strings for NLP architectures like RNNs and Transformers. Compact and easy to tokenize, they describe only single deterministic structures, failing to express the ensemble nature of real polymers. We examine the adaptation of conventional small-molecule encodings to the polymer domain.</w:t>
      </w:r>
    </w:p>
    <w:p w:rsidR="00D61E0E" w:rsidRPr="00D61E0E" w:rsidRDefault="00897132" w:rsidP="00D61E0E">
      <w:pPr>
        <w:spacing w:before="240" w:after="0" w:line="360" w:lineRule="auto"/>
        <w:jc w:val="both"/>
        <w:rPr>
          <w:rFonts w:cstheme="minorHAnsi"/>
          <w:b/>
          <w:bCs/>
        </w:rPr>
      </w:pPr>
      <w:r w:rsidRPr="00D61E0E">
        <w:rPr>
          <w:rFonts w:cstheme="minorHAnsi"/>
          <w:b/>
          <w:bCs/>
        </w:rPr>
        <w:t>2.1.1 SMILES and Its Polymer Limitations</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 xml:space="preserve">SMILES [148] encodes atoms, bonds, aromaticity, and branching using ASCII characters (e.g., styrene as c1ccccc1C=C). Simplicity and software support made it dominant for small-molecule deep learning. However, SMILES lacks mechanisms for polydispersity, random monomer sequencing, tacticity, or branching variations. Capturing only a single idealized structure, it suits monomers, oligomers, and deterministic repeat units but is mismatched to realistic ensembles. DL models trained on SMILES must infer ensemble behavior indirectly from a single string, a </w:t>
      </w:r>
      <w:r w:rsidRPr="006C7800">
        <w:rPr>
          <w:rFonts w:cstheme="minorHAnsi"/>
          <w:sz w:val="20"/>
          <w:szCs w:val="20"/>
        </w:rPr>
        <w:lastRenderedPageBreak/>
        <w:t>process unreliable and data-intensive. In generative modeling, SMILES often suffers from low validity, producing synthetically impossible strings. Concrete examples illustrate these limitations. Isotactic, syndiotactic, and atactic polypropylene collapse to the same SMILES repeat unit (“CC(C)C”), despite differing stereochemical sequences. A random styrene–butadiene copolymer with 30/70 composition cannot be represented as SMILES lacks statistical sequencing mechanisms. Basic polymer characteristics like polydispersity are lost: a polyethylene sample with Đ = 2.1 contains chains of varying lengths (e.g., –(CH₂–CH₂)₅₀–, –(CH₂–CH₂)₂₀₀–, –(CH₂–CH₂)₁₀₀₀–), yet all reduce to a single SMILES string (“CCCCCCCC”). These cases demonstrate SMILES cannot represent ensemble-level variability defining real polymer materials.</w:t>
      </w:r>
    </w:p>
    <w:p w:rsidR="00D61E0E" w:rsidRPr="00D61E0E" w:rsidRDefault="00897132" w:rsidP="00D61E0E">
      <w:pPr>
        <w:spacing w:before="240" w:after="0" w:line="360" w:lineRule="auto"/>
        <w:jc w:val="both"/>
        <w:rPr>
          <w:rFonts w:cstheme="minorHAnsi"/>
          <w:b/>
          <w:bCs/>
        </w:rPr>
      </w:pPr>
      <w:r w:rsidRPr="00D61E0E">
        <w:rPr>
          <w:rFonts w:cstheme="minorHAnsi"/>
          <w:b/>
          <w:bCs/>
        </w:rPr>
        <w:t xml:space="preserve">2.1.2 SELFIES: A Validity Guaranteed Alternative </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SELFIES [76] is a grammar-based alternative guaranteeing syntactic and molecular validity. While solving validity, it does not address polymer-specific challenges, inheriting the conceptual limitation of encoding only one deterministic structure without semantics for sequence distributions or ensemble-level variability. In practice, SELFIES functions as a safer SMILES version rather than a polymer-aware representation. Other syntax-optimized encodings like DeepSMILES [103] reduce grammatical invalidities but inherit the same fundamental limitation: describing single deterministic structures without semantics for polymer-specific variability like dispersity, sequence statistics, or processing history.</w:t>
      </w:r>
    </w:p>
    <w:p w:rsidR="00D61E0E" w:rsidRPr="00D61E0E" w:rsidRDefault="00897132" w:rsidP="00D61E0E">
      <w:pPr>
        <w:spacing w:before="240" w:after="0" w:line="360" w:lineRule="auto"/>
        <w:jc w:val="both"/>
        <w:rPr>
          <w:rFonts w:cstheme="minorHAnsi"/>
          <w:b/>
          <w:bCs/>
        </w:rPr>
      </w:pPr>
      <w:r w:rsidRPr="00D61E0E">
        <w:rPr>
          <w:rFonts w:cstheme="minorHAnsi"/>
          <w:b/>
          <w:bCs/>
        </w:rPr>
        <w:t xml:space="preserve">2.1.3 InChI and Related Canonical Encodings </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A third class aims for canonicalization and database interoperability, exemplified by the IUPAC International Chemical Identifier (InChI) [51]. InChI’s rigid, canonical strings are difficult to tokenize and poorly suited for generative modeling. Critically, it lacks polymer-specific extensions for sequence distributions or dispersity. Consequently, InChI is useful for monomer identification but not as a direct representation for polymer deep learning. In summary, SMILES, SELFIES, and InChI were designed for discrete, well-defined small molecules. Their application to polymers is fundamentally mismatched; they describe single chains but are incapable of representing statistical ensembles defining real polymeric materials. This necessitates representations with native polymer semantics support.</w:t>
      </w:r>
    </w:p>
    <w:p w:rsidR="00D61E0E" w:rsidRPr="00D61E0E" w:rsidRDefault="00897132" w:rsidP="00D61E0E">
      <w:pPr>
        <w:spacing w:before="240" w:after="0" w:line="360" w:lineRule="auto"/>
        <w:jc w:val="both"/>
        <w:rPr>
          <w:rFonts w:cstheme="minorHAnsi"/>
          <w:b/>
          <w:bCs/>
        </w:rPr>
      </w:pPr>
      <w:r w:rsidRPr="00D61E0E">
        <w:rPr>
          <w:rFonts w:cstheme="minorHAnsi"/>
          <w:b/>
          <w:bCs/>
        </w:rPr>
        <w:t xml:space="preserve">2.2 Sequence Aware Polymer Representations </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Sequence-aware (or ensemble-aware) representations bridge this gap. Instead of describing single deterministic structures, they embed statistical nature directly into the encoding, including stochastic repeat unit distributions, blockiness, tacticity, branching motifs, and ensemble correlations. Two primary strategies emerged: (i) extending string-based grammars with polymer constructs, and (ii) abandoning explicit chain descriptions for statistical descriptors.</w:t>
      </w:r>
    </w:p>
    <w:p w:rsidR="00595D3E" w:rsidRPr="00D61E0E" w:rsidRDefault="00D61E0E" w:rsidP="00D61E0E">
      <w:pPr>
        <w:spacing w:before="240" w:after="0" w:line="360" w:lineRule="auto"/>
        <w:jc w:val="both"/>
        <w:rPr>
          <w:rFonts w:cstheme="minorHAnsi"/>
          <w:b/>
          <w:bCs/>
        </w:rPr>
      </w:pPr>
      <w:r>
        <w:rPr>
          <w:rFonts w:cstheme="minorHAnsi"/>
          <w:b/>
          <w:bCs/>
        </w:rPr>
        <w:t>2.2.1 BigSMILES</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lastRenderedPageBreak/>
        <w:t xml:space="preserve">A Polymer Aware Extension of SMILES BigSMILES [85] represents the most direct effort to create a polymer-aware grammar by extending SMILES. It introduces repeat unit sets in braces {}, variable bonding descriptors ([&lt;], [&gt;]), and stochastic operators (e.g., ‘,’) to specify random or block copolymer formation. For instance, a comma within a repeat unit set, like {[&gt;]CC(c1ccccc1)[&lt;], [&gt;]CC(C(=O)OC)[&lt;]}, encodes a stochastic ensemble of a random styrene-methyl methacrylate copolymer. The comma allows selection during chain growth, representing the random copolymer SMILES cannot express. Through this syntax, BigSMILES describes copolymer ensembles, lightly </w:t>
      </w:r>
      <w:r w:rsidR="00D61E0E" w:rsidRPr="006C7800">
        <w:rPr>
          <w:rFonts w:cstheme="minorHAnsi"/>
          <w:sz w:val="20"/>
          <w:szCs w:val="20"/>
        </w:rPr>
        <w:t>cross-linked</w:t>
      </w:r>
      <w:r w:rsidRPr="006C7800">
        <w:rPr>
          <w:rFonts w:cstheme="minorHAnsi"/>
          <w:sz w:val="20"/>
          <w:szCs w:val="20"/>
        </w:rPr>
        <w:t xml:space="preserve"> networks, and explicit end-group structures. Despite expressiveness, BigSMILES exhibits limitations, including inability to encode tacticity, long-range correlations, or processing history, and requires specialized tokenization for effective transformer use.</w:t>
      </w:r>
    </w:p>
    <w:p w:rsidR="00595D3E" w:rsidRPr="00D61E0E" w:rsidRDefault="00897132" w:rsidP="00D61E0E">
      <w:pPr>
        <w:spacing w:before="240" w:after="0" w:line="360" w:lineRule="auto"/>
        <w:jc w:val="both"/>
        <w:rPr>
          <w:rFonts w:cstheme="minorHAnsi"/>
          <w:b/>
          <w:bCs/>
        </w:rPr>
      </w:pPr>
      <w:r w:rsidRPr="00D61E0E">
        <w:rPr>
          <w:rFonts w:cstheme="minorHAnsi"/>
          <w:b/>
          <w:bCs/>
        </w:rPr>
        <w:t>2.2.2 BigSMILES Extensions</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Recognizing these gaps, proposals aim to extend the BigSMILES framework [168]. These include explicit tacticity markers, enhanced descriptors for branching and networks, probabilistic sequence operators (e.g., based on Markov processes), and parameters for blockiness or processing history. Although experimental, these developments illustrate active research toward creating comprehensive grammars reflecting full polymer system complexity.</w:t>
      </w:r>
    </w:p>
    <w:p w:rsidR="00D61E0E" w:rsidRPr="00D61E0E" w:rsidRDefault="00897132" w:rsidP="00D61E0E">
      <w:pPr>
        <w:spacing w:before="240" w:after="0" w:line="360" w:lineRule="auto"/>
        <w:jc w:val="both"/>
        <w:rPr>
          <w:rFonts w:cstheme="minorHAnsi"/>
          <w:b/>
          <w:bCs/>
        </w:rPr>
      </w:pPr>
      <w:r w:rsidRPr="00D61E0E">
        <w:rPr>
          <w:rFonts w:cstheme="minorHAnsi"/>
          <w:b/>
          <w:bCs/>
        </w:rPr>
        <w:t xml:space="preserve">2.2.3 Statistical Sequence Representations </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Complementary to grammar-based extensions, a different approach abandons explicit chain description for compact statistical descriptors. For stochastic copolymers, sequence information is represented via Markov transition matrices, n-gram frequency vectors, or metrics quantifying randomness or blockiness. These are compact, compatible with fixed-size models, and invaluable when only ensemble-level experimental data is available. Their primary trade-off is loss of structural detail; they cannot represent deterministic sequences, and utility depends heavily on chosen statistical definitions. Furthermore, they challenge generative models, as mapping a statistical descriptor back to a plausible ensemble of concrete chains is an under-constrained inverse problem.</w:t>
      </w:r>
    </w:p>
    <w:p w:rsidR="00D61E0E" w:rsidRPr="00D61E0E" w:rsidRDefault="00897132" w:rsidP="00D61E0E">
      <w:pPr>
        <w:spacing w:before="240" w:after="0" w:line="360" w:lineRule="auto"/>
        <w:jc w:val="both"/>
        <w:rPr>
          <w:rFonts w:cstheme="minorHAnsi"/>
          <w:b/>
          <w:bCs/>
        </w:rPr>
      </w:pPr>
      <w:r w:rsidRPr="00D61E0E">
        <w:rPr>
          <w:rFonts w:cstheme="minorHAnsi"/>
          <w:b/>
          <w:bCs/>
        </w:rPr>
        <w:t xml:space="preserve">2.3 Graph Based Representations: Topology, Abstraction, and Physical Fidelity </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To address previous limitations, graph representations provide a natural inductive bias for polymers by treating atoms, repeat units, or coarse-grained [94,98] beads as nodes and bonds or interactions as edges. Unlike sequence-based encodings, graphs preserve topology, local chemical environments, and connectivity patterns, enabling models to reason over relational structure aligning with polymer physics.</w:t>
      </w:r>
    </w:p>
    <w:p w:rsidR="00B90324" w:rsidRPr="00B90324" w:rsidRDefault="00897132" w:rsidP="00B90324">
      <w:pPr>
        <w:spacing w:before="240" w:after="0" w:line="360" w:lineRule="auto"/>
        <w:jc w:val="both"/>
        <w:rPr>
          <w:rFonts w:cstheme="minorHAnsi"/>
          <w:b/>
          <w:bCs/>
        </w:rPr>
      </w:pPr>
      <w:r w:rsidRPr="00B90324">
        <w:rPr>
          <w:rFonts w:cstheme="minorHAnsi"/>
          <w:b/>
          <w:bCs/>
        </w:rPr>
        <w:t xml:space="preserve">2.3.1 The Granularity Spectrum: From Atoms to Beads </w:t>
      </w:r>
    </w:p>
    <w:p w:rsidR="00F8360F" w:rsidRDefault="00897132" w:rsidP="004D0E2F">
      <w:pPr>
        <w:spacing w:after="0" w:line="360" w:lineRule="auto"/>
        <w:jc w:val="both"/>
        <w:rPr>
          <w:rFonts w:cstheme="minorHAnsi"/>
          <w:b/>
          <w:bCs/>
          <w:sz w:val="20"/>
          <w:szCs w:val="20"/>
        </w:rPr>
      </w:pPr>
      <w:r w:rsidRPr="006C7800">
        <w:rPr>
          <w:rFonts w:cstheme="minorHAnsi"/>
          <w:sz w:val="20"/>
          <w:szCs w:val="20"/>
        </w:rPr>
        <w:t xml:space="preserve">The choice of node definition determines the physical scale [99] at which a graph operates (Figure </w:t>
      </w:r>
      <w:r w:rsidRPr="00F8360F">
        <w:rPr>
          <w:rFonts w:cstheme="minorHAnsi"/>
          <w:sz w:val="20"/>
          <w:szCs w:val="20"/>
        </w:rPr>
        <w:t>2)</w:t>
      </w:r>
      <w:r w:rsidRPr="00F8360F">
        <w:rPr>
          <w:rFonts w:cstheme="minorHAnsi"/>
          <w:b/>
          <w:bCs/>
          <w:sz w:val="20"/>
          <w:szCs w:val="20"/>
        </w:rPr>
        <w:t xml:space="preserve">. </w:t>
      </w:r>
    </w:p>
    <w:p w:rsidR="00F8360F" w:rsidRDefault="00897132" w:rsidP="004D0E2F">
      <w:pPr>
        <w:spacing w:after="0" w:line="360" w:lineRule="auto"/>
        <w:jc w:val="both"/>
        <w:rPr>
          <w:rFonts w:cstheme="minorHAnsi"/>
          <w:sz w:val="20"/>
          <w:szCs w:val="20"/>
        </w:rPr>
      </w:pPr>
      <w:r w:rsidRPr="00F8360F">
        <w:rPr>
          <w:rFonts w:cstheme="minorHAnsi"/>
          <w:b/>
          <w:bCs/>
          <w:sz w:val="20"/>
          <w:szCs w:val="20"/>
        </w:rPr>
        <w:t xml:space="preserve">Atomistic graphs </w:t>
      </w:r>
      <w:r w:rsidRPr="006C7800">
        <w:rPr>
          <w:rFonts w:cstheme="minorHAnsi"/>
          <w:sz w:val="20"/>
          <w:szCs w:val="20"/>
        </w:rPr>
        <w:t xml:space="preserve">represent every atom and bond, capturing detailed chemistry and stereochemistry, aligning well with established molecular GNNs. Ideal for predicting local properties like reactivity or spectroscopic signatures, they </w:t>
      </w:r>
      <w:r w:rsidRPr="006C7800">
        <w:rPr>
          <w:rFonts w:cstheme="minorHAnsi"/>
          <w:sz w:val="20"/>
          <w:szCs w:val="20"/>
        </w:rPr>
        <w:lastRenderedPageBreak/>
        <w:t xml:space="preserve">scale poorly with molecular weight, cannot represent polydispersity, and become impractical for morphology-dependent properties where long-range interactions dominate. </w:t>
      </w:r>
    </w:p>
    <w:p w:rsidR="00F8360F" w:rsidRDefault="00897132" w:rsidP="004D0E2F">
      <w:pPr>
        <w:spacing w:after="0" w:line="360" w:lineRule="auto"/>
        <w:jc w:val="both"/>
        <w:rPr>
          <w:rFonts w:cstheme="minorHAnsi"/>
          <w:sz w:val="20"/>
          <w:szCs w:val="20"/>
        </w:rPr>
      </w:pPr>
      <w:r w:rsidRPr="00F8360F">
        <w:rPr>
          <w:rFonts w:cstheme="minorHAnsi"/>
          <w:b/>
          <w:bCs/>
          <w:sz w:val="20"/>
          <w:szCs w:val="20"/>
        </w:rPr>
        <w:t>Repeat unit graphs</w:t>
      </w:r>
      <w:r w:rsidRPr="006C7800">
        <w:rPr>
          <w:rFonts w:cstheme="minorHAnsi"/>
          <w:sz w:val="20"/>
          <w:szCs w:val="20"/>
        </w:rPr>
        <w:t xml:space="preserve"> compress structure by grouping atoms into chemically meaningful monomer units. This reduces graph size while preserving essential polymer topology (blockiness, branching), making them effective for predicting chain-level properties like glass transition temperature or solubility. Main limitations arise from loss of intramonomer geometry and the need to define repeat unit boundaries carefully, introducing representation bias. </w:t>
      </w:r>
    </w:p>
    <w:p w:rsidR="00897132" w:rsidRDefault="00897132" w:rsidP="004D0E2F">
      <w:pPr>
        <w:spacing w:after="0" w:line="360" w:lineRule="auto"/>
        <w:jc w:val="both"/>
        <w:rPr>
          <w:rFonts w:cstheme="minorHAnsi"/>
          <w:sz w:val="20"/>
          <w:szCs w:val="20"/>
        </w:rPr>
      </w:pPr>
      <w:r w:rsidRPr="00F8360F">
        <w:rPr>
          <w:rFonts w:cstheme="minorHAnsi"/>
          <w:b/>
          <w:bCs/>
          <w:sz w:val="20"/>
          <w:szCs w:val="20"/>
        </w:rPr>
        <w:t>Coarse-grained graphs</w:t>
      </w:r>
      <w:r w:rsidRPr="006C7800">
        <w:rPr>
          <w:rFonts w:cstheme="minorHAnsi"/>
          <w:sz w:val="20"/>
          <w:szCs w:val="20"/>
        </w:rPr>
        <w:t xml:space="preserve"> [94,98] abstract larger segments into beads, enabling models to capture mesoscale behavior like entanglement, phase separation, and domain formation. These scale to long chains and bulk systems but sacrifice chemical specificity; mapping from chemistry to coarse-grained units is often non-unique and system-dependent, complicating interpretability. Together, these levels illustrate the trade-off between chemical fidelity and computational scalability.</w:t>
      </w:r>
    </w:p>
    <w:p w:rsidR="00F8360F" w:rsidRDefault="00F8360F" w:rsidP="00F8360F">
      <w:pPr>
        <w:spacing w:before="240" w:after="0" w:line="360" w:lineRule="auto"/>
        <w:jc w:val="center"/>
        <w:rPr>
          <w:rFonts w:cstheme="minorHAnsi"/>
          <w:sz w:val="20"/>
          <w:szCs w:val="20"/>
        </w:rPr>
      </w:pPr>
      <w:r>
        <w:rPr>
          <w:rFonts w:asciiTheme="majorBidi" w:hAnsiTheme="majorBidi" w:cstheme="majorBidi"/>
          <w:noProof/>
        </w:rPr>
        <w:drawing>
          <wp:inline distT="0" distB="0" distL="0" distR="0" wp14:anchorId="2C129BD0" wp14:editId="60F047BD">
            <wp:extent cx="4010025" cy="14097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826" r="2669" b="15966"/>
                    <a:stretch/>
                  </pic:blipFill>
                  <pic:spPr bwMode="auto">
                    <a:xfrm>
                      <a:off x="0" y="0"/>
                      <a:ext cx="4010025" cy="1409700"/>
                    </a:xfrm>
                    <a:prstGeom prst="rect">
                      <a:avLst/>
                    </a:prstGeom>
                    <a:noFill/>
                    <a:ln>
                      <a:noFill/>
                    </a:ln>
                    <a:extLst>
                      <a:ext uri="{53640926-AAD7-44D8-BBD7-CCE9431645EC}">
                        <a14:shadowObscured xmlns:a14="http://schemas.microsoft.com/office/drawing/2010/main"/>
                      </a:ext>
                    </a:extLst>
                  </pic:spPr>
                </pic:pic>
              </a:graphicData>
            </a:graphic>
          </wp:inline>
        </w:drawing>
      </w:r>
    </w:p>
    <w:p w:rsidR="00F8360F" w:rsidRPr="006C7800" w:rsidRDefault="00F8360F" w:rsidP="00F8360F">
      <w:pPr>
        <w:spacing w:after="0" w:line="360" w:lineRule="auto"/>
        <w:jc w:val="center"/>
        <w:rPr>
          <w:rFonts w:cstheme="minorHAnsi"/>
          <w:sz w:val="20"/>
          <w:szCs w:val="20"/>
        </w:rPr>
      </w:pPr>
      <w:r w:rsidRPr="00DE4DC4">
        <w:rPr>
          <w:b/>
          <w:bCs/>
          <w:noProof/>
        </w:rPr>
        <mc:AlternateContent>
          <mc:Choice Requires="wps">
            <w:drawing>
              <wp:anchor distT="0" distB="0" distL="114300" distR="114300" simplePos="0" relativeHeight="251663360" behindDoc="0" locked="0" layoutInCell="1" allowOverlap="1" wp14:anchorId="0D3E8475" wp14:editId="326C2424">
                <wp:simplePos x="0" y="0"/>
                <wp:positionH relativeFrom="margin">
                  <wp:posOffset>171450</wp:posOffset>
                </wp:positionH>
                <wp:positionV relativeFrom="paragraph">
                  <wp:posOffset>13335</wp:posOffset>
                </wp:positionV>
                <wp:extent cx="5948487" cy="780836"/>
                <wp:effectExtent l="0" t="0" r="0" b="635"/>
                <wp:wrapNone/>
                <wp:docPr id="24" name="Text Box 24"/>
                <wp:cNvGraphicFramePr/>
                <a:graphic xmlns:a="http://schemas.openxmlformats.org/drawingml/2006/main">
                  <a:graphicData uri="http://schemas.microsoft.com/office/word/2010/wordprocessingShape">
                    <wps:wsp>
                      <wps:cNvSpPr txBox="1"/>
                      <wps:spPr>
                        <a:xfrm>
                          <a:off x="0" y="0"/>
                          <a:ext cx="5948487" cy="780836"/>
                        </a:xfrm>
                        <a:prstGeom prst="rect">
                          <a:avLst/>
                        </a:prstGeom>
                        <a:solidFill>
                          <a:schemeClr val="lt1"/>
                        </a:solidFill>
                        <a:ln w="6350">
                          <a:noFill/>
                        </a:ln>
                      </wps:spPr>
                      <wps:txbx>
                        <w:txbxContent>
                          <w:p w:rsidR="005562ED" w:rsidRPr="00F7167E" w:rsidRDefault="005562ED" w:rsidP="00F8360F">
                            <w:pPr>
                              <w:jc w:val="both"/>
                              <w:rPr>
                                <w:rFonts w:cstheme="minorHAnsi"/>
                                <w:sz w:val="18"/>
                                <w:szCs w:val="18"/>
                              </w:rPr>
                            </w:pPr>
                            <w:r w:rsidRPr="00F7167E">
                              <w:rPr>
                                <w:rFonts w:cstheme="minorHAnsi"/>
                                <w:b/>
                                <w:bCs/>
                                <w:sz w:val="18"/>
                                <w:szCs w:val="18"/>
                              </w:rPr>
                              <w:t>Figure 2</w:t>
                            </w:r>
                            <w:r w:rsidRPr="00F7167E">
                              <w:rPr>
                                <w:rFonts w:cstheme="minorHAnsi"/>
                                <w:sz w:val="18"/>
                                <w:szCs w:val="18"/>
                              </w:rPr>
                              <w:t>. The granularity (multiscale) spectrum of polymer representations. Structural descriptions transition from high-resolution atomistic fidelity (left) for local chemistry, through topological repeat-unit models (center) for chain connectivity, to field-based continuum models (right) for bulk morphology and entanglement. This hierarchy illustrates the trade-off between chemical specificity and the computational complexity required to capture emergent material properties.</w:t>
                            </w:r>
                          </w:p>
                          <w:p w:rsidR="005562ED" w:rsidRDefault="005562ED" w:rsidP="00F836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E8475" id="Text Box 24" o:spid="_x0000_s1027" type="#_x0000_t202" style="position:absolute;left:0;text-align:left;margin-left:13.5pt;margin-top:1.05pt;width:468.4pt;height:6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hQNRgIAAIIEAAAOAAAAZHJzL2Uyb0RvYy54bWysVE2P2jAQvVfqf7B8LwksXxsRVpQVVSW0&#10;uxJUezaOTSI5Htc2JPTXd+wAy257qnox45nJ88x7M8we2lqRo7CuAp3Tfi+lRGgORaX3Of2xXX2Z&#10;UuI80wVToEVOT8LRh/nnT7PGZGIAJahCWIIg2mWNyWnpvcmSxPFS1Mz1wAiNQQm2Zh6vdp8UljWI&#10;XqtkkKbjpAFbGAtcOIfexy5I5xFfSsH9s5ROeKJyirX5eNp47sKZzGcs21tmyoqfy2D/UEXNKo2P&#10;XqEemWfkYKs/oOqKW3AgfY9DnYCUFRexB+ymn37oZlMyI2IvSI4zV5rc/4PlT8cXS6oip4MhJZrV&#10;qNFWtJ58hZagC/lpjMswbWMw0bfoR50vfofO0HYrbR1+sSGCcWT6dGU3oHF0ju6H0+F0QgnH2GSa&#10;Tu/GASZ5+9pY578JqEkwcmpRvUgqO66d71IvKeExB6oqVpVS8RImRiyVJUeGWisfa0Twd1lKkyan&#10;47tRGoE1hM87ZKWxltBr11OwfLtrIzfXfndQnJAGC90gOcNXFda6Zs6/MIuTg53jNvhnPKQCfAvO&#10;FiUl2F9/84d8FBSjlDQ4iTl1Pw/MCkrUd41S3/eHwzC68TIcTQZ4sbeR3W1EH+olIAF93DvDoxny&#10;vbqY0kL9ikuzCK9iiGmOb+fUX8yl7/YDl46LxSIm4bAa5td6Y3iADoQHJbbtK7PmLJdHoZ/gMrMs&#10;+6Balxu+1LA4eJBVlDTw3LF6ph8HPQ7FeSnDJt3eY9bbX8f8NwAAAP//AwBQSwMEFAAGAAgAAAAh&#10;AGaVGc3gAAAACAEAAA8AAABkcnMvZG93bnJldi54bWxMj0tPwzAQhO9I/Adrkbgg6jzUFkKcCiEe&#10;Um80LYibGy9JRLyOYjcJ/57lBKfVaEaz8+Wb2XZixMG3jhTEiwgEUuVMS7WCffl0fQPCB01Gd45Q&#10;wTd62BTnZ7nOjJvoFcddqAWXkM+0giaEPpPSVw1a7ReuR2Lv0w1WB5ZDLc2gJy63nUyiaCWtbok/&#10;NLrHhwarr93JKvi4qt+3fn4+TOky7R9fxnL9ZkqlLi/m+zsQAefwF4bf+TwdCt50dCcyXnQKkjWj&#10;BL4xCLZvVymTHDmXLGOQRS7/AxQ/AAAA//8DAFBLAQItABQABgAIAAAAIQC2gziS/gAAAOEBAAAT&#10;AAAAAAAAAAAAAAAAAAAAAABbQ29udGVudF9UeXBlc10ueG1sUEsBAi0AFAAGAAgAAAAhADj9If/W&#10;AAAAlAEAAAsAAAAAAAAAAAAAAAAALwEAAF9yZWxzLy5yZWxzUEsBAi0AFAAGAAgAAAAhAPIWFA1G&#10;AgAAggQAAA4AAAAAAAAAAAAAAAAALgIAAGRycy9lMm9Eb2MueG1sUEsBAi0AFAAGAAgAAAAhAGaV&#10;Gc3gAAAACAEAAA8AAAAAAAAAAAAAAAAAoAQAAGRycy9kb3ducmV2LnhtbFBLBQYAAAAABAAEAPMA&#10;AACtBQAAAAA=&#10;" fillcolor="white [3201]" stroked="f" strokeweight=".5pt">
                <v:textbox>
                  <w:txbxContent>
                    <w:p w:rsidR="005562ED" w:rsidRPr="00F7167E" w:rsidRDefault="005562ED" w:rsidP="00F8360F">
                      <w:pPr>
                        <w:jc w:val="both"/>
                        <w:rPr>
                          <w:rFonts w:cstheme="minorHAnsi"/>
                          <w:sz w:val="18"/>
                          <w:szCs w:val="18"/>
                        </w:rPr>
                      </w:pPr>
                      <w:r w:rsidRPr="00F7167E">
                        <w:rPr>
                          <w:rFonts w:cstheme="minorHAnsi"/>
                          <w:b/>
                          <w:bCs/>
                          <w:sz w:val="18"/>
                          <w:szCs w:val="18"/>
                        </w:rPr>
                        <w:t>Figure 2</w:t>
                      </w:r>
                      <w:r w:rsidRPr="00F7167E">
                        <w:rPr>
                          <w:rFonts w:cstheme="minorHAnsi"/>
                          <w:sz w:val="18"/>
                          <w:szCs w:val="18"/>
                        </w:rPr>
                        <w:t>. The granularity (multiscale) spectrum of polymer representations. Structural descriptions transition from high-resolution atomistic fidelity (left) for local chemistry, through topological repeat-unit models (center) for chain connectivity, to field-based continuum models (right) for bulk morphology and entanglement. This hierarchy illustrates the trade-off between chemical specificity and the computational complexity required to capture emergent material properties.</w:t>
                      </w:r>
                    </w:p>
                    <w:p w:rsidR="005562ED" w:rsidRDefault="005562ED" w:rsidP="00F8360F"/>
                  </w:txbxContent>
                </v:textbox>
                <w10:wrap anchorx="margin"/>
              </v:shape>
            </w:pict>
          </mc:Fallback>
        </mc:AlternateContent>
      </w:r>
    </w:p>
    <w:p w:rsidR="00F8360F" w:rsidRDefault="00F8360F" w:rsidP="00B90324">
      <w:pPr>
        <w:spacing w:before="240" w:after="0" w:line="360" w:lineRule="auto"/>
        <w:jc w:val="both"/>
        <w:rPr>
          <w:rFonts w:cstheme="minorHAnsi"/>
          <w:b/>
          <w:bCs/>
        </w:rPr>
      </w:pPr>
    </w:p>
    <w:p w:rsidR="00F8360F" w:rsidRDefault="00F8360F" w:rsidP="00F8360F">
      <w:pPr>
        <w:spacing w:after="0" w:line="360" w:lineRule="auto"/>
        <w:jc w:val="both"/>
        <w:rPr>
          <w:rFonts w:cstheme="minorHAnsi"/>
          <w:b/>
          <w:bCs/>
        </w:rPr>
      </w:pPr>
    </w:p>
    <w:p w:rsidR="00B90324" w:rsidRPr="00B90324" w:rsidRDefault="00897132" w:rsidP="00B90324">
      <w:pPr>
        <w:spacing w:before="240" w:after="0" w:line="360" w:lineRule="auto"/>
        <w:jc w:val="both"/>
        <w:rPr>
          <w:rFonts w:cstheme="minorHAnsi"/>
          <w:b/>
          <w:bCs/>
        </w:rPr>
      </w:pPr>
      <w:r w:rsidRPr="00B90324">
        <w:rPr>
          <w:rFonts w:cstheme="minorHAnsi"/>
          <w:b/>
          <w:bCs/>
        </w:rPr>
        <w:t xml:space="preserve">2.3.2 Hypergraphs for Complex Polymer Architectures </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 xml:space="preserve">Beyond choosing node granularity, representing complex architectures often requires moving beyond pairwise connectivity. Hypergraphs generalize edges to connect multiple nodes simultaneously, making them well-suited for </w:t>
      </w:r>
      <w:r w:rsidR="00B90324" w:rsidRPr="006C7800">
        <w:rPr>
          <w:rFonts w:cstheme="minorHAnsi"/>
          <w:sz w:val="20"/>
          <w:szCs w:val="20"/>
        </w:rPr>
        <w:t>cross-linked</w:t>
      </w:r>
      <w:r w:rsidRPr="006C7800">
        <w:rPr>
          <w:rFonts w:cstheme="minorHAnsi"/>
          <w:sz w:val="20"/>
          <w:szCs w:val="20"/>
        </w:rPr>
        <w:t xml:space="preserve"> networks, bottlebrush polymers, and supramolecular assemblies where multibody interactions define behavior. Their ability to encode multibody interactions and junction functionality provides expressivity conventional graphs cannot achieve, especially where network connectivity dominates behavior. These align with theoretical treatments of polymer networks and microphase separation [35, 82], bridging graph-based learning and classical polymer physics.</w:t>
      </w:r>
    </w:p>
    <w:p w:rsidR="00B90324" w:rsidRPr="00B90324" w:rsidRDefault="00897132" w:rsidP="00B90324">
      <w:pPr>
        <w:spacing w:before="240" w:after="0" w:line="360" w:lineRule="auto"/>
        <w:jc w:val="both"/>
        <w:rPr>
          <w:rFonts w:cstheme="minorHAnsi"/>
          <w:b/>
          <w:bCs/>
        </w:rPr>
      </w:pPr>
      <w:r w:rsidRPr="00B90324">
        <w:rPr>
          <w:rFonts w:cstheme="minorHAnsi"/>
          <w:b/>
          <w:bCs/>
        </w:rPr>
        <w:t xml:space="preserve">2.3.3 Implementation Schema: From Graph Definition to GNN Pipeline </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 xml:space="preserve">Constructing a polymer graph involves coordinated decisions about node, edge, and global features. Nodes may encode atomic, monomeric, or coarse-grained information; edges may represent bond order, adjacency, or interaction strength; and global features may include molecular weight distribution, topology class, or processing </w:t>
      </w:r>
      <w:r w:rsidRPr="006C7800">
        <w:rPr>
          <w:rFonts w:cstheme="minorHAnsi"/>
          <w:sz w:val="20"/>
          <w:szCs w:val="20"/>
        </w:rPr>
        <w:lastRenderedPageBreak/>
        <w:t>metadata. These choices must pair with an appropriate model architecture</w:t>
      </w:r>
      <w:r w:rsidR="00430310">
        <w:rPr>
          <w:rFonts w:cstheme="minorHAnsi"/>
          <w:sz w:val="20"/>
          <w:szCs w:val="20"/>
        </w:rPr>
        <w:t xml:space="preserve">, </w:t>
      </w:r>
      <w:r w:rsidRPr="006C7800">
        <w:rPr>
          <w:rFonts w:cstheme="minorHAnsi"/>
          <w:sz w:val="20"/>
          <w:szCs w:val="20"/>
        </w:rPr>
        <w:t>whether message-passing graph neural networks [154], equivariant GNNs [9], hierarchical GNNs, or hypergraph neural networks</w:t>
      </w:r>
      <w:r w:rsidR="00430310">
        <w:rPr>
          <w:rFonts w:cstheme="minorHAnsi"/>
          <w:sz w:val="20"/>
          <w:szCs w:val="20"/>
        </w:rPr>
        <w:t xml:space="preserve">, </w:t>
      </w:r>
      <w:r w:rsidRPr="006C7800">
        <w:rPr>
          <w:rFonts w:cstheme="minorHAnsi"/>
          <w:sz w:val="20"/>
          <w:szCs w:val="20"/>
        </w:rPr>
        <w:t>as each imposes its own inductive biases and determines the physical resolution at which the representation operates.</w:t>
      </w:r>
    </w:p>
    <w:p w:rsidR="00B90324" w:rsidRPr="00B90324" w:rsidRDefault="00897132" w:rsidP="00B90324">
      <w:pPr>
        <w:spacing w:before="240" w:after="0" w:line="360" w:lineRule="auto"/>
        <w:jc w:val="both"/>
        <w:rPr>
          <w:rFonts w:cstheme="minorHAnsi"/>
          <w:b/>
          <w:bCs/>
        </w:rPr>
      </w:pPr>
      <w:r w:rsidRPr="00B90324">
        <w:rPr>
          <w:rFonts w:cstheme="minorHAnsi"/>
          <w:b/>
          <w:bCs/>
        </w:rPr>
        <w:t xml:space="preserve">2.3.4 Critical Commentary: The Graph Bottleneck </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Despite flexibility, graph-based representations face structural limitations. A single graph cannot fully represent a polymer ensemble, leading to the “single-graph fallacy” where one idealized structure stands for a distribution, obscuring ensemble-level variability. Graphs typically encode static structures, failing to capture processing history, even though processing strongly influences morphology, crystallinity, and mechanical properties. Finally, no single graph granularity spans all relevant physical scales, creating a persistent multiscale gap between atomistic detail and mesoscale organization.</w:t>
      </w:r>
    </w:p>
    <w:p w:rsidR="00B90324" w:rsidRPr="00B90324" w:rsidRDefault="00897132" w:rsidP="00B90324">
      <w:pPr>
        <w:spacing w:before="240" w:after="0" w:line="360" w:lineRule="auto"/>
        <w:jc w:val="both"/>
        <w:rPr>
          <w:rFonts w:cstheme="minorHAnsi"/>
          <w:b/>
          <w:bCs/>
        </w:rPr>
      </w:pPr>
      <w:r w:rsidRPr="00B90324">
        <w:rPr>
          <w:rFonts w:cstheme="minorHAnsi"/>
          <w:b/>
          <w:bCs/>
        </w:rPr>
        <w:t xml:space="preserve">2.3.5 Emerging Directions </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Recent work seeks to overcome limitations through distributional graphs representing ensembles rather than single structures, dynamic graphs evolving with processing or simulation time, hybrid graph–string models combining topological and sequence information, and multiresolution GNNs integrating multiple granularity levels, often inspired by hierarchical coarse-graining in polymer physics. These emerging approaches aim to create a new generation of representations faithfully reflecting the ensemble-based, multiscale, and process-sensitive nature of real polymer systems, addressing core limitations constraining prior GNN applications. Having examined structure-preserving representations, we turn to the classical paradigm of engineered feature vectors. Although predating modern graph-based methods, this approach handles polymeric information in a fundamentally different, limited way. This contrast clarifies field evolution and highlights the core trade-off between engineered simplicity and representational fidelity.</w:t>
      </w:r>
    </w:p>
    <w:p w:rsidR="00897132" w:rsidRPr="00B90324" w:rsidRDefault="00897132" w:rsidP="00753CEC">
      <w:pPr>
        <w:spacing w:before="240" w:after="0" w:line="360" w:lineRule="auto"/>
        <w:jc w:val="both"/>
        <w:rPr>
          <w:rFonts w:cstheme="minorHAnsi"/>
          <w:b/>
          <w:bCs/>
        </w:rPr>
      </w:pPr>
      <w:r w:rsidRPr="00B90324">
        <w:rPr>
          <w:rFonts w:cstheme="minorHAnsi"/>
          <w:b/>
          <w:bCs/>
        </w:rPr>
        <w:t>2.4 Fingerprints and Descriptors: The Engineered Feature Paradigm</w:t>
      </w:r>
    </w:p>
    <w:p w:rsidR="00B90324" w:rsidRPr="00B90324" w:rsidRDefault="00897132" w:rsidP="00B90324">
      <w:pPr>
        <w:spacing w:before="240" w:after="0" w:line="360" w:lineRule="auto"/>
        <w:jc w:val="both"/>
        <w:rPr>
          <w:rFonts w:cstheme="minorHAnsi"/>
          <w:b/>
          <w:bCs/>
        </w:rPr>
      </w:pPr>
      <w:r w:rsidRPr="00B90324">
        <w:rPr>
          <w:rFonts w:cstheme="minorHAnsi"/>
          <w:b/>
          <w:bCs/>
        </w:rPr>
        <w:t xml:space="preserve">2.4.1 The Fingerprint Bottleneck </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Classical molecular fingerprints like ECFP [123] compress structural information into fixed-length vectors, a process particularly lossy for polymers. Applied to macromolecules, these encodings collapse the molecular-weight distribution into scalar moments, erase sequence information, ignore architectural features (topology, branching), and omit processing history. Fingerprints provide only a coarse, often insufficient summary of polymer structure. While fingerprint benchmarks [121] and QSPR descriptors [67] are well-established in small-molecule informatics, their direct application to polymers often neglects ensemble-level variability. Related fingerprint and graph convolution methods [29, 68, 75] and molecular descriptor calculators [97] are widely used in small-molecule QSAR but require adaptation for polymers.</w:t>
      </w:r>
    </w:p>
    <w:p w:rsidR="00B90324" w:rsidRPr="00B90324" w:rsidRDefault="00897132" w:rsidP="00B90324">
      <w:pPr>
        <w:spacing w:before="240" w:after="0" w:line="360" w:lineRule="auto"/>
        <w:jc w:val="both"/>
        <w:rPr>
          <w:rFonts w:cstheme="minorHAnsi"/>
          <w:b/>
          <w:bCs/>
        </w:rPr>
      </w:pPr>
      <w:r w:rsidRPr="00B90324">
        <w:rPr>
          <w:rFonts w:cstheme="minorHAnsi"/>
          <w:b/>
          <w:bCs/>
        </w:rPr>
        <w:lastRenderedPageBreak/>
        <w:t xml:space="preserve">2.4.2 Polymer Specific Descriptors </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To address limitations, polymer informatics developed engineered descriptors explicitly encoding chemically and physically meaningful attributes [67]. These include chemical composition measures, topology and branching indicators, physical parameters like solubility or cohesive energy density, and statistical quantities derived from molecular weight distribution, including Kier-Hall topological indices for branching, Hansen solubility parameters, or the dispersity index (Đ) and its higher moments. Such descriptors [97] inject domain knowledge directly into representation, though they remain inherently rigid and lack the adaptability of learned features.</w:t>
      </w:r>
    </w:p>
    <w:p w:rsidR="00B90324" w:rsidRPr="00B90324" w:rsidRDefault="00897132" w:rsidP="00B90324">
      <w:pPr>
        <w:spacing w:before="240" w:after="0" w:line="360" w:lineRule="auto"/>
        <w:jc w:val="both"/>
        <w:rPr>
          <w:rFonts w:cstheme="minorHAnsi"/>
          <w:b/>
          <w:bCs/>
        </w:rPr>
      </w:pPr>
      <w:r w:rsidRPr="00B90324">
        <w:rPr>
          <w:rFonts w:cstheme="minorHAnsi"/>
          <w:b/>
          <w:bCs/>
        </w:rPr>
        <w:t xml:space="preserve">2.4.3 Critical Synthesis </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Despite constraints, fingerprints and engineered descriptors play an important role in polymer machine learning. They provide reliable baselines for benchmarking new models, perform well in low-data regimes where learned representations struggle, and can augment deep learning architectures by supplying physically grounded features [99] improving stability and interpretability. Therefore, they are best viewed not as competitors to learned representations but as complementary tools within a pragmatic modeling toolkit, whose utility is dictated by specific data and task constraints. A common limitation across all aforementioned representations is inability to capture emergent properties depending on 3D geometry and bulk morphology, requiring a shift toward spatial and image-based modeling frameworks.</w:t>
      </w:r>
    </w:p>
    <w:p w:rsidR="00B90324" w:rsidRPr="00B90324" w:rsidRDefault="00897132" w:rsidP="00B90324">
      <w:pPr>
        <w:spacing w:before="240" w:after="0" w:line="360" w:lineRule="auto"/>
        <w:jc w:val="both"/>
        <w:rPr>
          <w:rFonts w:cstheme="minorHAnsi"/>
          <w:b/>
          <w:bCs/>
        </w:rPr>
      </w:pPr>
      <w:r w:rsidRPr="00B90324">
        <w:rPr>
          <w:rFonts w:cstheme="minorHAnsi"/>
          <w:b/>
          <w:bCs/>
        </w:rPr>
        <w:t xml:space="preserve">2.5 3D and Image Based Representations: Encoding Geometry and Morphology </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For properties dictated by spatial organization</w:t>
      </w:r>
      <w:r w:rsidR="00430310">
        <w:rPr>
          <w:rFonts w:cstheme="minorHAnsi"/>
          <w:sz w:val="20"/>
          <w:szCs w:val="20"/>
        </w:rPr>
        <w:t xml:space="preserve">, </w:t>
      </w:r>
      <w:r w:rsidRPr="006C7800">
        <w:rPr>
          <w:rFonts w:cstheme="minorHAnsi"/>
          <w:sz w:val="20"/>
          <w:szCs w:val="20"/>
        </w:rPr>
        <w:t>toughness, optical clarity, barrier performance</w:t>
      </w:r>
      <w:r w:rsidR="00430310">
        <w:rPr>
          <w:rFonts w:cstheme="minorHAnsi"/>
          <w:sz w:val="20"/>
          <w:szCs w:val="20"/>
        </w:rPr>
        <w:t xml:space="preserve">, </w:t>
      </w:r>
      <w:r w:rsidRPr="006C7800">
        <w:rPr>
          <w:rFonts w:cstheme="minorHAnsi"/>
          <w:sz w:val="20"/>
          <w:szCs w:val="20"/>
        </w:rPr>
        <w:t>symbolic encodings of sequences, graphs, and fingerprints reach their limit. 3D and image-based representations capture physical reality directly, offering a route to models learning structure–property relationships grounded in geometry rather than purely symbolic encodings.</w:t>
      </w:r>
    </w:p>
    <w:p w:rsidR="00B90324" w:rsidRPr="00B90324" w:rsidRDefault="00897132" w:rsidP="00B90324">
      <w:pPr>
        <w:spacing w:before="240" w:after="0" w:line="360" w:lineRule="auto"/>
        <w:jc w:val="both"/>
        <w:rPr>
          <w:rFonts w:cstheme="minorHAnsi"/>
          <w:b/>
          <w:bCs/>
        </w:rPr>
      </w:pPr>
      <w:r w:rsidRPr="00B90324">
        <w:rPr>
          <w:rFonts w:cstheme="minorHAnsi"/>
          <w:b/>
          <w:bCs/>
        </w:rPr>
        <w:t xml:space="preserve">2.5.1 Morphology as Multimodal Data </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Experimental characterization produces heterogeneous data modalities reflecting different structure aspects. SAXS and WAXS provide reciprocal-space signatures of nanoscale ordering, while microscopy methods (SEM, TEM, AFM) reveal real-space morphology and domain connectivity. Integrating these fundamentally different views into a unified representation remains an open challenge, as each modality encodes complementary, non-overlapping information. This necessitates multimodal fusion architectures capable of reconciling reciprocal-space statistics with real-space connectivity, akin to aligning language with vision in AI.</w:t>
      </w:r>
    </w:p>
    <w:p w:rsidR="00B90324" w:rsidRPr="00B90324" w:rsidRDefault="00897132" w:rsidP="00B90324">
      <w:pPr>
        <w:spacing w:before="240" w:after="0" w:line="360" w:lineRule="auto"/>
        <w:jc w:val="both"/>
        <w:rPr>
          <w:rFonts w:cstheme="minorHAnsi"/>
          <w:b/>
          <w:bCs/>
        </w:rPr>
      </w:pPr>
      <w:r w:rsidRPr="00B90324">
        <w:rPr>
          <w:rFonts w:cstheme="minorHAnsi"/>
          <w:b/>
          <w:bCs/>
        </w:rPr>
        <w:t xml:space="preserve">2.5.2 Volumetric 3D Representations </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 xml:space="preserve">Representing morphology directly in three dimensions introduces computational considerations. Naive voxel grids offer straightforward density field discretization but suffer from cubic memory scaling and rotation sensitivity. To address limitations, emerging alternatives like neural implicit fields [141], point cloud representations, and 3D </w:t>
      </w:r>
      <w:r w:rsidRPr="006C7800">
        <w:rPr>
          <w:rFonts w:cstheme="minorHAnsi"/>
          <w:sz w:val="20"/>
          <w:szCs w:val="20"/>
        </w:rPr>
        <w:lastRenderedPageBreak/>
        <w:t>embedded graphs processed by equivariant GNNs [9] provide flexible, efficient geometry encoding. These capture continuous surfaces, sparse particle distributions, or simulation-derived structures while reducing computational burdens associated with dense volumetric grids.</w:t>
      </w:r>
    </w:p>
    <w:p w:rsidR="00B90324" w:rsidRPr="00B90324" w:rsidRDefault="00897132" w:rsidP="00B90324">
      <w:pPr>
        <w:spacing w:before="240" w:after="0" w:line="360" w:lineRule="auto"/>
        <w:jc w:val="both"/>
        <w:rPr>
          <w:rFonts w:cstheme="minorHAnsi"/>
          <w:b/>
          <w:bCs/>
        </w:rPr>
      </w:pPr>
      <w:r w:rsidRPr="00B90324">
        <w:rPr>
          <w:rFonts w:cstheme="minorHAnsi"/>
          <w:b/>
          <w:bCs/>
        </w:rPr>
        <w:t xml:space="preserve">2.5.3 Processing as a Temporal Sequence </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Processing history, including thermal protocols, shear fields, and solvent environments, acts as a causal driver of morphology. Unfolding over time, these histories are represented as multivariate temporal sequences encoding evolution of relevant physical variables. These enable models to learn how processing trajectories shape morphology, supporting sequence-to-morphology mappings reflecting polymer formation dynamics.</w:t>
      </w:r>
    </w:p>
    <w:p w:rsidR="00B90324" w:rsidRPr="00B90324" w:rsidRDefault="00897132" w:rsidP="00B90324">
      <w:pPr>
        <w:spacing w:before="240" w:after="0" w:line="360" w:lineRule="auto"/>
        <w:jc w:val="both"/>
        <w:rPr>
          <w:rFonts w:cstheme="minorHAnsi"/>
          <w:b/>
          <w:bCs/>
        </w:rPr>
      </w:pPr>
      <w:r w:rsidRPr="00B90324">
        <w:rPr>
          <w:rFonts w:cstheme="minorHAnsi"/>
          <w:b/>
          <w:bCs/>
        </w:rPr>
        <w:t xml:space="preserve">2.5.4 Computational Challenges </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3D and image-based representations introduce computational challenges acute in polymer systems:</w:t>
      </w:r>
    </w:p>
    <w:p w:rsidR="00897132" w:rsidRPr="006C7800" w:rsidRDefault="00897132" w:rsidP="004D0E2F">
      <w:pPr>
        <w:numPr>
          <w:ilvl w:val="0"/>
          <w:numId w:val="7"/>
        </w:numPr>
        <w:spacing w:after="0" w:line="360" w:lineRule="auto"/>
        <w:jc w:val="both"/>
        <w:rPr>
          <w:rFonts w:cstheme="minorHAnsi"/>
          <w:sz w:val="20"/>
          <w:szCs w:val="20"/>
        </w:rPr>
      </w:pPr>
      <w:r w:rsidRPr="00B90324">
        <w:rPr>
          <w:rFonts w:cstheme="minorHAnsi"/>
          <w:b/>
          <w:bCs/>
          <w:sz w:val="20"/>
          <w:szCs w:val="20"/>
        </w:rPr>
        <w:t>Multiscale disconnect:</w:t>
      </w:r>
      <w:r w:rsidRPr="006C7800">
        <w:rPr>
          <w:rFonts w:cstheme="minorHAnsi"/>
          <w:sz w:val="20"/>
          <w:szCs w:val="20"/>
        </w:rPr>
        <w:t xml:space="preserve"> Bridging Å-scale chemical graphs with micron-scale morphological images remains difficult; no current architecture integrates these seamlessly.</w:t>
      </w:r>
    </w:p>
    <w:p w:rsidR="00897132" w:rsidRPr="006C7800" w:rsidRDefault="00897132" w:rsidP="004D0E2F">
      <w:pPr>
        <w:numPr>
          <w:ilvl w:val="0"/>
          <w:numId w:val="7"/>
        </w:numPr>
        <w:spacing w:after="0" w:line="360" w:lineRule="auto"/>
        <w:jc w:val="both"/>
        <w:rPr>
          <w:rFonts w:cstheme="minorHAnsi"/>
          <w:sz w:val="20"/>
          <w:szCs w:val="20"/>
        </w:rPr>
      </w:pPr>
      <w:r w:rsidRPr="00B90324">
        <w:rPr>
          <w:rFonts w:cstheme="minorHAnsi"/>
          <w:b/>
          <w:bCs/>
          <w:sz w:val="20"/>
          <w:szCs w:val="20"/>
        </w:rPr>
        <w:t>Data scarcity:</w:t>
      </w:r>
      <w:r w:rsidRPr="006C7800">
        <w:rPr>
          <w:rFonts w:cstheme="minorHAnsi"/>
          <w:sz w:val="20"/>
          <w:szCs w:val="20"/>
        </w:rPr>
        <w:t xml:space="preserve"> High-quality 3D experimental datasets (e.g., tomography) are rare/expensive, limiting supervised learning and increasing overfitting risk.</w:t>
      </w:r>
    </w:p>
    <w:p w:rsidR="00897132" w:rsidRPr="006C7800" w:rsidRDefault="00897132" w:rsidP="004D0E2F">
      <w:pPr>
        <w:numPr>
          <w:ilvl w:val="0"/>
          <w:numId w:val="7"/>
        </w:numPr>
        <w:spacing w:after="0" w:line="360" w:lineRule="auto"/>
        <w:jc w:val="both"/>
        <w:rPr>
          <w:rFonts w:cstheme="minorHAnsi"/>
          <w:sz w:val="20"/>
          <w:szCs w:val="20"/>
        </w:rPr>
      </w:pPr>
      <w:r w:rsidRPr="00B90324">
        <w:rPr>
          <w:rFonts w:cstheme="minorHAnsi"/>
          <w:b/>
          <w:bCs/>
          <w:sz w:val="20"/>
          <w:szCs w:val="20"/>
        </w:rPr>
        <w:t>Simulation–experiment domain shift:</w:t>
      </w:r>
      <w:r w:rsidRPr="006C7800">
        <w:rPr>
          <w:rFonts w:cstheme="minorHAnsi"/>
          <w:sz w:val="20"/>
          <w:szCs w:val="20"/>
        </w:rPr>
        <w:t xml:space="preserve"> Models trained on synthetic data from MD, DPD, or SCFT often learn simulator-specific artifacts rather than physically generalizable features.</w:t>
      </w:r>
    </w:p>
    <w:p w:rsidR="00897132" w:rsidRPr="006C7800" w:rsidRDefault="00897132" w:rsidP="00EE7A9B">
      <w:pPr>
        <w:numPr>
          <w:ilvl w:val="0"/>
          <w:numId w:val="7"/>
        </w:numPr>
        <w:spacing w:line="360" w:lineRule="auto"/>
        <w:jc w:val="both"/>
        <w:rPr>
          <w:rFonts w:cstheme="minorHAnsi"/>
          <w:sz w:val="20"/>
          <w:szCs w:val="20"/>
        </w:rPr>
      </w:pPr>
      <w:r w:rsidRPr="00B90324">
        <w:rPr>
          <w:rFonts w:cstheme="minorHAnsi"/>
          <w:b/>
          <w:bCs/>
          <w:sz w:val="20"/>
          <w:szCs w:val="20"/>
        </w:rPr>
        <w:t>Disorder and metastability:</w:t>
      </w:r>
      <w:r w:rsidRPr="006C7800">
        <w:rPr>
          <w:rFonts w:cstheme="minorHAnsi"/>
          <w:sz w:val="20"/>
          <w:szCs w:val="20"/>
        </w:rPr>
        <w:t xml:space="preserve"> Real polymer morphologies are partially ordered/disordered, requiring probabilistic rather than deterministic representations to capture realistic variability. To situate challenges within concrete representational choices, Table 1 summarizes major 3D and image-based encodings in polymer machine learning, highlighting representational trade-offs as concrete design challenges.</w:t>
      </w:r>
    </w:p>
    <w:tbl>
      <w:tblPr>
        <w:tblStyle w:val="PlainTable1"/>
        <w:tblW w:w="9350" w:type="dxa"/>
        <w:tblInd w:w="-113" w:type="dxa"/>
        <w:tblLook w:val="04A0" w:firstRow="1" w:lastRow="0" w:firstColumn="1" w:lastColumn="0" w:noHBand="0" w:noVBand="1"/>
      </w:tblPr>
      <w:tblGrid>
        <w:gridCol w:w="1723"/>
        <w:gridCol w:w="2260"/>
        <w:gridCol w:w="3049"/>
        <w:gridCol w:w="2318"/>
      </w:tblGrid>
      <w:tr w:rsidR="00EE7A9B" w:rsidRPr="00EE7A9B" w:rsidTr="00EE7A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E7A9B" w:rsidRPr="00EE7A9B" w:rsidRDefault="00EE7A9B" w:rsidP="00EE7A9B">
            <w:pPr>
              <w:spacing w:line="276" w:lineRule="auto"/>
              <w:rPr>
                <w:rFonts w:eastAsia="Times New Roman" w:cstheme="minorHAnsi"/>
                <w:sz w:val="20"/>
                <w:szCs w:val="20"/>
              </w:rPr>
            </w:pPr>
            <w:r w:rsidRPr="00EE7A9B">
              <w:rPr>
                <w:rFonts w:eastAsia="Times New Roman" w:cstheme="minorHAnsi"/>
                <w:sz w:val="20"/>
                <w:szCs w:val="20"/>
              </w:rPr>
              <w:t>Representation</w:t>
            </w:r>
          </w:p>
        </w:tc>
        <w:tc>
          <w:tcPr>
            <w:tcW w:w="0" w:type="auto"/>
            <w:hideMark/>
          </w:tcPr>
          <w:p w:rsidR="00EE7A9B" w:rsidRPr="00EE7A9B" w:rsidRDefault="00EE7A9B" w:rsidP="00EE7A9B">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EE7A9B">
              <w:rPr>
                <w:rFonts w:eastAsia="Times New Roman" w:cstheme="minorHAnsi"/>
                <w:sz w:val="20"/>
                <w:szCs w:val="20"/>
              </w:rPr>
              <w:t>Best For</w:t>
            </w:r>
          </w:p>
        </w:tc>
        <w:tc>
          <w:tcPr>
            <w:tcW w:w="0" w:type="auto"/>
            <w:hideMark/>
          </w:tcPr>
          <w:p w:rsidR="00EE7A9B" w:rsidRPr="00EE7A9B" w:rsidRDefault="00EE7A9B" w:rsidP="00EE7A9B">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EE7A9B">
              <w:rPr>
                <w:rFonts w:eastAsia="Times New Roman" w:cstheme="minorHAnsi"/>
                <w:sz w:val="20"/>
                <w:szCs w:val="20"/>
              </w:rPr>
              <w:t>Key Limitation</w:t>
            </w:r>
          </w:p>
        </w:tc>
        <w:tc>
          <w:tcPr>
            <w:tcW w:w="0" w:type="auto"/>
            <w:hideMark/>
          </w:tcPr>
          <w:p w:rsidR="00EE7A9B" w:rsidRPr="00EE7A9B" w:rsidRDefault="00EE7A9B" w:rsidP="00EE7A9B">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EE7A9B">
              <w:rPr>
                <w:rFonts w:eastAsia="Times New Roman" w:cstheme="minorHAnsi"/>
                <w:sz w:val="20"/>
                <w:szCs w:val="20"/>
              </w:rPr>
              <w:t>Compatible Architectures</w:t>
            </w:r>
          </w:p>
        </w:tc>
      </w:tr>
      <w:tr w:rsidR="00EE7A9B" w:rsidRPr="00EE7A9B" w:rsidTr="00EE7A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E7A9B" w:rsidRPr="00EE7A9B" w:rsidRDefault="00EE7A9B" w:rsidP="00EE7A9B">
            <w:pPr>
              <w:spacing w:line="276" w:lineRule="auto"/>
              <w:rPr>
                <w:rFonts w:eastAsia="Times New Roman" w:cstheme="minorHAnsi"/>
                <w:sz w:val="20"/>
                <w:szCs w:val="20"/>
              </w:rPr>
            </w:pPr>
            <w:r w:rsidRPr="00EE7A9B">
              <w:rPr>
                <w:rFonts w:eastAsia="Times New Roman" w:cstheme="minorHAnsi"/>
                <w:sz w:val="20"/>
                <w:szCs w:val="20"/>
              </w:rPr>
              <w:t>Scattering Profiles</w:t>
            </w:r>
          </w:p>
        </w:tc>
        <w:tc>
          <w:tcPr>
            <w:tcW w:w="0" w:type="auto"/>
            <w:hideMark/>
          </w:tcPr>
          <w:p w:rsidR="00EE7A9B" w:rsidRPr="00EE7A9B" w:rsidRDefault="00EE7A9B" w:rsidP="00EE7A9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EE7A9B">
              <w:rPr>
                <w:rFonts w:eastAsia="Times New Roman" w:cstheme="minorHAnsi"/>
                <w:sz w:val="20"/>
                <w:szCs w:val="20"/>
              </w:rPr>
              <w:t>Nanoscale periodicity</w:t>
            </w:r>
          </w:p>
        </w:tc>
        <w:tc>
          <w:tcPr>
            <w:tcW w:w="0" w:type="auto"/>
            <w:hideMark/>
          </w:tcPr>
          <w:p w:rsidR="00EE7A9B" w:rsidRPr="00EE7A9B" w:rsidRDefault="00EE7A9B" w:rsidP="00EE7A9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EE7A9B">
              <w:rPr>
                <w:rFonts w:eastAsia="Times New Roman" w:cstheme="minorHAnsi"/>
                <w:sz w:val="20"/>
                <w:szCs w:val="20"/>
              </w:rPr>
              <w:t>Inverse design characterized by non-uniqueness and instability</w:t>
            </w:r>
          </w:p>
        </w:tc>
        <w:tc>
          <w:tcPr>
            <w:tcW w:w="0" w:type="auto"/>
            <w:hideMark/>
          </w:tcPr>
          <w:p w:rsidR="00EE7A9B" w:rsidRPr="00EE7A9B" w:rsidRDefault="00EE7A9B" w:rsidP="00EE7A9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EE7A9B">
              <w:rPr>
                <w:rFonts w:eastAsia="Times New Roman" w:cstheme="minorHAnsi"/>
                <w:sz w:val="20"/>
                <w:szCs w:val="20"/>
              </w:rPr>
              <w:t>1D CNNs, Neural Operators</w:t>
            </w:r>
          </w:p>
        </w:tc>
      </w:tr>
      <w:tr w:rsidR="00EE7A9B" w:rsidRPr="00EE7A9B" w:rsidTr="00EE7A9B">
        <w:tc>
          <w:tcPr>
            <w:cnfStyle w:val="001000000000" w:firstRow="0" w:lastRow="0" w:firstColumn="1" w:lastColumn="0" w:oddVBand="0" w:evenVBand="0" w:oddHBand="0" w:evenHBand="0" w:firstRowFirstColumn="0" w:firstRowLastColumn="0" w:lastRowFirstColumn="0" w:lastRowLastColumn="0"/>
            <w:tcW w:w="0" w:type="auto"/>
            <w:hideMark/>
          </w:tcPr>
          <w:p w:rsidR="00EE7A9B" w:rsidRPr="00EE7A9B" w:rsidRDefault="00EE7A9B" w:rsidP="00EE7A9B">
            <w:pPr>
              <w:spacing w:line="276" w:lineRule="auto"/>
              <w:rPr>
                <w:rFonts w:eastAsia="Times New Roman" w:cstheme="minorHAnsi"/>
                <w:sz w:val="20"/>
                <w:szCs w:val="20"/>
              </w:rPr>
            </w:pPr>
            <w:r w:rsidRPr="00EE7A9B">
              <w:rPr>
                <w:rFonts w:eastAsia="Times New Roman" w:cstheme="minorHAnsi"/>
                <w:sz w:val="20"/>
                <w:szCs w:val="20"/>
              </w:rPr>
              <w:t>Microscopy Images</w:t>
            </w:r>
          </w:p>
        </w:tc>
        <w:tc>
          <w:tcPr>
            <w:tcW w:w="0" w:type="auto"/>
            <w:hideMark/>
          </w:tcPr>
          <w:p w:rsidR="00EE7A9B" w:rsidRPr="00EE7A9B" w:rsidRDefault="00EE7A9B" w:rsidP="00EE7A9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EE7A9B">
              <w:rPr>
                <w:rFonts w:eastAsia="Times New Roman" w:cstheme="minorHAnsi"/>
                <w:sz w:val="20"/>
                <w:szCs w:val="20"/>
              </w:rPr>
              <w:t>Phase morphology, connectivity</w:t>
            </w:r>
          </w:p>
        </w:tc>
        <w:tc>
          <w:tcPr>
            <w:tcW w:w="0" w:type="auto"/>
            <w:hideMark/>
          </w:tcPr>
          <w:p w:rsidR="00EE7A9B" w:rsidRPr="00EE7A9B" w:rsidRDefault="00EE7A9B" w:rsidP="00EE7A9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EE7A9B">
              <w:rPr>
                <w:rFonts w:eastAsia="Times New Roman" w:cstheme="minorHAnsi"/>
                <w:sz w:val="20"/>
                <w:szCs w:val="20"/>
              </w:rPr>
              <w:t>Projection artifacts; contrast issues</w:t>
            </w:r>
          </w:p>
        </w:tc>
        <w:tc>
          <w:tcPr>
            <w:tcW w:w="0" w:type="auto"/>
            <w:hideMark/>
          </w:tcPr>
          <w:p w:rsidR="00EE7A9B" w:rsidRPr="00EE7A9B" w:rsidRDefault="00EE7A9B" w:rsidP="00EE7A9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EE7A9B">
              <w:rPr>
                <w:rFonts w:eastAsia="Times New Roman" w:cstheme="minorHAnsi"/>
                <w:sz w:val="20"/>
                <w:szCs w:val="20"/>
              </w:rPr>
              <w:t>2D/3D CNNs, Vision Transformers</w:t>
            </w:r>
          </w:p>
        </w:tc>
      </w:tr>
      <w:tr w:rsidR="00EE7A9B" w:rsidRPr="00EE7A9B" w:rsidTr="00EE7A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E7A9B" w:rsidRPr="00EE7A9B" w:rsidRDefault="00EE7A9B" w:rsidP="00EE7A9B">
            <w:pPr>
              <w:spacing w:line="276" w:lineRule="auto"/>
              <w:rPr>
                <w:rFonts w:eastAsia="Times New Roman" w:cstheme="minorHAnsi"/>
                <w:sz w:val="20"/>
                <w:szCs w:val="20"/>
              </w:rPr>
            </w:pPr>
            <w:r w:rsidRPr="00EE7A9B">
              <w:rPr>
                <w:rFonts w:eastAsia="Times New Roman" w:cstheme="minorHAnsi"/>
                <w:sz w:val="20"/>
                <w:szCs w:val="20"/>
              </w:rPr>
              <w:t>Voxel Grids</w:t>
            </w:r>
          </w:p>
        </w:tc>
        <w:tc>
          <w:tcPr>
            <w:tcW w:w="0" w:type="auto"/>
            <w:hideMark/>
          </w:tcPr>
          <w:p w:rsidR="00EE7A9B" w:rsidRPr="00EE7A9B" w:rsidRDefault="00EE7A9B" w:rsidP="00EE7A9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EE7A9B">
              <w:rPr>
                <w:rFonts w:eastAsia="Times New Roman" w:cstheme="minorHAnsi"/>
                <w:sz w:val="20"/>
                <w:szCs w:val="20"/>
              </w:rPr>
              <w:t>Full 3D density fields</w:t>
            </w:r>
          </w:p>
        </w:tc>
        <w:tc>
          <w:tcPr>
            <w:tcW w:w="0" w:type="auto"/>
            <w:hideMark/>
          </w:tcPr>
          <w:p w:rsidR="00EE7A9B" w:rsidRPr="00EE7A9B" w:rsidRDefault="00EE7A9B" w:rsidP="00EE7A9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EE7A9B">
              <w:rPr>
                <w:rFonts w:eastAsia="Times New Roman" w:cstheme="minorHAnsi"/>
                <w:sz w:val="20"/>
                <w:szCs w:val="20"/>
              </w:rPr>
              <w:t>O(N</w:t>
            </w:r>
            <w:r w:rsidRPr="00EE7A9B">
              <w:rPr>
                <w:rFonts w:eastAsia="Times New Roman" w:cstheme="minorHAnsi"/>
                <w:sz w:val="20"/>
                <w:szCs w:val="20"/>
                <w:vertAlign w:val="superscript"/>
              </w:rPr>
              <w:t>3</w:t>
            </w:r>
            <w:r w:rsidRPr="00EE7A9B">
              <w:rPr>
                <w:rFonts w:eastAsia="Times New Roman" w:cstheme="minorHAnsi"/>
                <w:sz w:val="20"/>
                <w:szCs w:val="20"/>
              </w:rPr>
              <w:t>) scaling; rotation variance</w:t>
            </w:r>
          </w:p>
        </w:tc>
        <w:tc>
          <w:tcPr>
            <w:tcW w:w="0" w:type="auto"/>
            <w:hideMark/>
          </w:tcPr>
          <w:p w:rsidR="00EE7A9B" w:rsidRPr="00EE7A9B" w:rsidRDefault="00EE7A9B" w:rsidP="00EE7A9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EE7A9B">
              <w:rPr>
                <w:rFonts w:eastAsia="Times New Roman" w:cstheme="minorHAnsi"/>
                <w:sz w:val="20"/>
                <w:szCs w:val="20"/>
              </w:rPr>
              <w:t>3D CNNs</w:t>
            </w:r>
          </w:p>
        </w:tc>
      </w:tr>
      <w:tr w:rsidR="00EE7A9B" w:rsidRPr="00EE7A9B" w:rsidTr="00EE7A9B">
        <w:tc>
          <w:tcPr>
            <w:cnfStyle w:val="001000000000" w:firstRow="0" w:lastRow="0" w:firstColumn="1" w:lastColumn="0" w:oddVBand="0" w:evenVBand="0" w:oddHBand="0" w:evenHBand="0" w:firstRowFirstColumn="0" w:firstRowLastColumn="0" w:lastRowFirstColumn="0" w:lastRowLastColumn="0"/>
            <w:tcW w:w="0" w:type="auto"/>
            <w:hideMark/>
          </w:tcPr>
          <w:p w:rsidR="00EE7A9B" w:rsidRPr="00EE7A9B" w:rsidRDefault="00EE7A9B" w:rsidP="00EE7A9B">
            <w:pPr>
              <w:spacing w:line="276" w:lineRule="auto"/>
              <w:rPr>
                <w:rFonts w:eastAsia="Times New Roman" w:cstheme="minorHAnsi"/>
                <w:sz w:val="20"/>
                <w:szCs w:val="20"/>
              </w:rPr>
            </w:pPr>
            <w:r w:rsidRPr="00EE7A9B">
              <w:rPr>
                <w:rFonts w:eastAsia="Times New Roman" w:cstheme="minorHAnsi"/>
                <w:sz w:val="20"/>
                <w:szCs w:val="20"/>
              </w:rPr>
              <w:t>Neural Implicit Fields</w:t>
            </w:r>
          </w:p>
        </w:tc>
        <w:tc>
          <w:tcPr>
            <w:tcW w:w="0" w:type="auto"/>
            <w:hideMark/>
          </w:tcPr>
          <w:p w:rsidR="00EE7A9B" w:rsidRPr="00EE7A9B" w:rsidRDefault="00EE7A9B" w:rsidP="00EE7A9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EE7A9B">
              <w:rPr>
                <w:rFonts w:eastAsia="Times New Roman" w:cstheme="minorHAnsi"/>
                <w:sz w:val="20"/>
                <w:szCs w:val="20"/>
              </w:rPr>
              <w:t>Continuous, high</w:t>
            </w:r>
            <w:r w:rsidRPr="00EE7A9B">
              <w:rPr>
                <w:rFonts w:eastAsia="Times New Roman" w:cstheme="minorHAnsi"/>
                <w:sz w:val="20"/>
                <w:szCs w:val="20"/>
              </w:rPr>
              <w:noBreakHyphen/>
              <w:t>resolution geometry</w:t>
            </w:r>
          </w:p>
        </w:tc>
        <w:tc>
          <w:tcPr>
            <w:tcW w:w="0" w:type="auto"/>
            <w:hideMark/>
          </w:tcPr>
          <w:p w:rsidR="00EE7A9B" w:rsidRPr="00EE7A9B" w:rsidRDefault="00EE7A9B" w:rsidP="00EE7A9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EE7A9B">
              <w:rPr>
                <w:rFonts w:eastAsia="Times New Roman" w:cstheme="minorHAnsi"/>
                <w:sz w:val="20"/>
                <w:szCs w:val="20"/>
              </w:rPr>
              <w:t>Requires coordinate sampling</w:t>
            </w:r>
          </w:p>
        </w:tc>
        <w:tc>
          <w:tcPr>
            <w:tcW w:w="0" w:type="auto"/>
            <w:hideMark/>
          </w:tcPr>
          <w:p w:rsidR="00EE7A9B" w:rsidRPr="00EE7A9B" w:rsidRDefault="00EE7A9B" w:rsidP="00EE7A9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EE7A9B">
              <w:rPr>
                <w:rFonts w:eastAsia="Times New Roman" w:cstheme="minorHAnsi"/>
                <w:sz w:val="20"/>
                <w:szCs w:val="20"/>
              </w:rPr>
              <w:t>Implicit Neural Representations</w:t>
            </w:r>
          </w:p>
        </w:tc>
      </w:tr>
      <w:tr w:rsidR="00EE7A9B" w:rsidRPr="00EE7A9B" w:rsidTr="00EE7A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E7A9B" w:rsidRPr="00EE7A9B" w:rsidRDefault="00EE7A9B" w:rsidP="00EE7A9B">
            <w:pPr>
              <w:spacing w:line="276" w:lineRule="auto"/>
              <w:rPr>
                <w:rFonts w:eastAsia="Times New Roman" w:cstheme="minorHAnsi"/>
                <w:sz w:val="20"/>
                <w:szCs w:val="20"/>
              </w:rPr>
            </w:pPr>
            <w:r w:rsidRPr="00EE7A9B">
              <w:rPr>
                <w:rFonts w:eastAsia="Times New Roman" w:cstheme="minorHAnsi"/>
                <w:sz w:val="20"/>
                <w:szCs w:val="20"/>
              </w:rPr>
              <w:t>Point Clouds</w:t>
            </w:r>
          </w:p>
        </w:tc>
        <w:tc>
          <w:tcPr>
            <w:tcW w:w="0" w:type="auto"/>
            <w:hideMark/>
          </w:tcPr>
          <w:p w:rsidR="00EE7A9B" w:rsidRPr="00EE7A9B" w:rsidRDefault="00EE7A9B" w:rsidP="00EE7A9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EE7A9B">
              <w:rPr>
                <w:rFonts w:eastAsia="Times New Roman" w:cstheme="minorHAnsi"/>
                <w:sz w:val="20"/>
                <w:szCs w:val="20"/>
              </w:rPr>
              <w:t>Sparse particle data</w:t>
            </w:r>
          </w:p>
        </w:tc>
        <w:tc>
          <w:tcPr>
            <w:tcW w:w="0" w:type="auto"/>
            <w:hideMark/>
          </w:tcPr>
          <w:p w:rsidR="00EE7A9B" w:rsidRPr="00EE7A9B" w:rsidRDefault="00EE7A9B" w:rsidP="00EE7A9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EE7A9B">
              <w:rPr>
                <w:rFonts w:eastAsia="Times New Roman" w:cstheme="minorHAnsi"/>
                <w:sz w:val="20"/>
                <w:szCs w:val="20"/>
              </w:rPr>
              <w:t>No inherent topology</w:t>
            </w:r>
          </w:p>
        </w:tc>
        <w:tc>
          <w:tcPr>
            <w:tcW w:w="0" w:type="auto"/>
            <w:hideMark/>
          </w:tcPr>
          <w:p w:rsidR="00EE7A9B" w:rsidRPr="00EE7A9B" w:rsidRDefault="00EE7A9B" w:rsidP="00EE7A9B">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EE7A9B">
              <w:rPr>
                <w:rFonts w:eastAsia="Times New Roman" w:cstheme="minorHAnsi"/>
                <w:sz w:val="20"/>
                <w:szCs w:val="20"/>
              </w:rPr>
              <w:t>PointNet++, Point</w:t>
            </w:r>
            <w:r w:rsidRPr="00EE7A9B">
              <w:rPr>
                <w:rFonts w:eastAsia="Times New Roman" w:cstheme="minorHAnsi"/>
                <w:sz w:val="20"/>
                <w:szCs w:val="20"/>
              </w:rPr>
              <w:noBreakHyphen/>
              <w:t>Cloud Transformers</w:t>
            </w:r>
          </w:p>
        </w:tc>
      </w:tr>
      <w:tr w:rsidR="00EE7A9B" w:rsidRPr="00EE7A9B" w:rsidTr="00EE7A9B">
        <w:tc>
          <w:tcPr>
            <w:cnfStyle w:val="001000000000" w:firstRow="0" w:lastRow="0" w:firstColumn="1" w:lastColumn="0" w:oddVBand="0" w:evenVBand="0" w:oddHBand="0" w:evenHBand="0" w:firstRowFirstColumn="0" w:firstRowLastColumn="0" w:lastRowFirstColumn="0" w:lastRowLastColumn="0"/>
            <w:tcW w:w="0" w:type="auto"/>
            <w:hideMark/>
          </w:tcPr>
          <w:p w:rsidR="00EE7A9B" w:rsidRPr="00EE7A9B" w:rsidRDefault="00EE7A9B" w:rsidP="00EE7A9B">
            <w:pPr>
              <w:spacing w:line="276" w:lineRule="auto"/>
              <w:rPr>
                <w:rFonts w:eastAsia="Times New Roman" w:cstheme="minorHAnsi"/>
                <w:sz w:val="20"/>
                <w:szCs w:val="20"/>
              </w:rPr>
            </w:pPr>
            <w:r w:rsidRPr="00EE7A9B">
              <w:rPr>
                <w:rFonts w:eastAsia="Times New Roman" w:cstheme="minorHAnsi"/>
                <w:sz w:val="20"/>
                <w:szCs w:val="20"/>
              </w:rPr>
              <w:t>3D Embedded Graphs</w:t>
            </w:r>
          </w:p>
        </w:tc>
        <w:tc>
          <w:tcPr>
            <w:tcW w:w="0" w:type="auto"/>
            <w:hideMark/>
          </w:tcPr>
          <w:p w:rsidR="00EE7A9B" w:rsidRPr="00EE7A9B" w:rsidRDefault="00EE7A9B" w:rsidP="00EE7A9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EE7A9B">
              <w:rPr>
                <w:rFonts w:eastAsia="Times New Roman" w:cstheme="minorHAnsi"/>
                <w:sz w:val="20"/>
                <w:szCs w:val="20"/>
              </w:rPr>
              <w:t>Atomistic/CG simulations</w:t>
            </w:r>
          </w:p>
        </w:tc>
        <w:tc>
          <w:tcPr>
            <w:tcW w:w="0" w:type="auto"/>
            <w:hideMark/>
          </w:tcPr>
          <w:p w:rsidR="00EE7A9B" w:rsidRPr="00EE7A9B" w:rsidRDefault="00EE7A9B" w:rsidP="00EE7A9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EE7A9B">
              <w:rPr>
                <w:rFonts w:eastAsia="Times New Roman" w:cstheme="minorHAnsi"/>
                <w:sz w:val="20"/>
                <w:szCs w:val="20"/>
              </w:rPr>
              <w:t>Requires simulation data</w:t>
            </w:r>
          </w:p>
        </w:tc>
        <w:tc>
          <w:tcPr>
            <w:tcW w:w="0" w:type="auto"/>
            <w:hideMark/>
          </w:tcPr>
          <w:p w:rsidR="00EE7A9B" w:rsidRPr="00EE7A9B" w:rsidRDefault="00EE7A9B" w:rsidP="00EE7A9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EE7A9B">
              <w:rPr>
                <w:rFonts w:eastAsia="Times New Roman" w:cstheme="minorHAnsi"/>
                <w:sz w:val="20"/>
                <w:szCs w:val="20"/>
              </w:rPr>
              <w:t>E(3)</w:t>
            </w:r>
            <w:r w:rsidRPr="00EE7A9B">
              <w:rPr>
                <w:rFonts w:eastAsia="Times New Roman" w:cstheme="minorHAnsi"/>
                <w:sz w:val="20"/>
                <w:szCs w:val="20"/>
              </w:rPr>
              <w:noBreakHyphen/>
              <w:t>equivariant GNNs</w:t>
            </w:r>
          </w:p>
        </w:tc>
      </w:tr>
    </w:tbl>
    <w:p w:rsidR="00EE7A9B" w:rsidRDefault="00EE7A9B" w:rsidP="00B90324">
      <w:pPr>
        <w:spacing w:before="240" w:after="0" w:line="360" w:lineRule="auto"/>
        <w:jc w:val="both"/>
        <w:rPr>
          <w:rFonts w:cstheme="minorHAnsi"/>
          <w:b/>
          <w:bCs/>
        </w:rPr>
      </w:pPr>
      <w:r w:rsidRPr="00DE4DC4">
        <w:rPr>
          <w:rFonts w:asciiTheme="majorBidi" w:hAnsiTheme="majorBidi" w:cstheme="majorBidi"/>
          <w:noProof/>
        </w:rPr>
        <mc:AlternateContent>
          <mc:Choice Requires="wps">
            <w:drawing>
              <wp:anchor distT="0" distB="0" distL="114300" distR="114300" simplePos="0" relativeHeight="251665408" behindDoc="0" locked="0" layoutInCell="1" allowOverlap="1" wp14:anchorId="56CCA4D7" wp14:editId="03DCA9D8">
                <wp:simplePos x="0" y="0"/>
                <wp:positionH relativeFrom="margin">
                  <wp:align>center</wp:align>
                </wp:positionH>
                <wp:positionV relativeFrom="paragraph">
                  <wp:posOffset>27940</wp:posOffset>
                </wp:positionV>
                <wp:extent cx="6210300" cy="513707"/>
                <wp:effectExtent l="0" t="0" r="0" b="1270"/>
                <wp:wrapNone/>
                <wp:docPr id="25" name="Text Box 25"/>
                <wp:cNvGraphicFramePr/>
                <a:graphic xmlns:a="http://schemas.openxmlformats.org/drawingml/2006/main">
                  <a:graphicData uri="http://schemas.microsoft.com/office/word/2010/wordprocessingShape">
                    <wps:wsp>
                      <wps:cNvSpPr txBox="1"/>
                      <wps:spPr>
                        <a:xfrm>
                          <a:off x="0" y="0"/>
                          <a:ext cx="6210300" cy="513707"/>
                        </a:xfrm>
                        <a:prstGeom prst="rect">
                          <a:avLst/>
                        </a:prstGeom>
                        <a:solidFill>
                          <a:schemeClr val="lt1"/>
                        </a:solidFill>
                        <a:ln w="6350">
                          <a:noFill/>
                        </a:ln>
                      </wps:spPr>
                      <wps:txbx>
                        <w:txbxContent>
                          <w:p w:rsidR="005562ED" w:rsidRPr="00EE7A9B" w:rsidRDefault="005562ED" w:rsidP="00EE7A9B">
                            <w:pPr>
                              <w:rPr>
                                <w:rFonts w:cstheme="minorHAnsi"/>
                                <w:sz w:val="20"/>
                                <w:szCs w:val="20"/>
                              </w:rPr>
                            </w:pPr>
                            <w:r w:rsidRPr="00EE7A9B">
                              <w:rPr>
                                <w:rFonts w:cstheme="minorHAnsi"/>
                                <w:b/>
                                <w:bCs/>
                                <w:sz w:val="20"/>
                                <w:szCs w:val="20"/>
                              </w:rPr>
                              <w:t>Table1</w:t>
                            </w:r>
                            <w:r w:rsidRPr="00EE7A9B">
                              <w:rPr>
                                <w:rFonts w:cstheme="minorHAnsi"/>
                                <w:sz w:val="20"/>
                                <w:szCs w:val="20"/>
                              </w:rPr>
                              <w:t>: 3D and Image-Based Representations for Polymeric Morphology. Summary of data modalities, inherent limitations, and compatible deep learning architectures.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CA4D7" id="Text Box 25" o:spid="_x0000_s1028" type="#_x0000_t202" style="position:absolute;left:0;text-align:left;margin-left:0;margin-top:2.2pt;width:489pt;height:40.4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JcORAIAAIIEAAAOAAAAZHJzL2Uyb0RvYy54bWysVMFuGjEQvVfqP1i+l10gJCliiWgiqkpR&#10;EilUORuvF1byelzbsEu/vs9eIGnaU9WLGc/MPs+8N8Pspms02yvnazIFHw5yzpSRVNZmU/Dvq+Wn&#10;a858EKYUmowq+EF5fjP/+GHW2qka0ZZ0qRwDiPHT1hZ8G4KdZpmXW9UIPyCrDIIVuUYEXN0mK51o&#10;gd7obJTnl1lLrrSOpPIe3rs+yOcJv6qUDI9V5VVguuCoLaTTpXMdz2w+E9ONE3Zby2MZ4h+qaERt&#10;8OgZ6k4EwXau/gOqqaUjT1UYSGoyqqpaqtQDuhnm77p53gqrUi8gx9szTf7/wcqH/ZNjdVnw0YQz&#10;IxpotFJdYF+oY3CBn9b6KdKeLRJDBz90Pvk9nLHtrnJN/EVDDHEwfTizG9EknJejYT7OEZKITYbj&#10;q/wqwmSvX1vnw1dFDYtGwR3US6SK/b0PfeopJT7mSdflstY6XeLEqFvt2F5Aax1SjQD/LUsb1qKS&#10;8SRPwIbi5z2yNqgl9tr3FK3Qrbuem1O/ayoPoMFRP0jeymWNWu+FD0/CYXLQHrYhPOKoNOEtOlqc&#10;bcn9/Js/5kNQRDlrMYkF9z92winO9DcDqT8PLy7i6KbLxeRqhIt7G1m/jZhdc0sgYIi9szKZMT/o&#10;k1k5al6wNIv4KkLCSLxd8HAyb0O/H1g6qRaLlIRhtSLcm2crI3QkPCqx6l6Es0e5AoR+oNPMiuk7&#10;1frc+KWhxS5QVSdJI889q0f6MehpKI5LGTfp7T1lvf51zH8BAAD//wMAUEsDBBQABgAIAAAAIQBa&#10;sjw63gAAAAUBAAAPAAAAZHJzL2Rvd25yZXYueG1sTI/NTsMwEITvSLyDtZW4IOpAWpqmcSqEgErc&#10;aPgRNzfeJhHxOordJLw9ywmOoxnNfJNtJ9uKAXvfOFJwPY9AIJXONFQpeC0erxIQPmgyunWECr7R&#10;wzY/P8t0atxILzjsQyW4hHyqFdQhdKmUvqzRaj93HRJ7R9dbHVj2lTS9HrnctvImim6l1Q3xQq07&#10;vK+x/NqfrILPy+rj2U9Pb2O8jLuH3VCs3k2h1MVsutuACDiFvzD84jM65Mx0cCcyXrQK+EhQsFiA&#10;YHO9SlgfFCTLGGSeyf/0+Q8AAAD//wMAUEsBAi0AFAAGAAgAAAAhALaDOJL+AAAA4QEAABMAAAAA&#10;AAAAAAAAAAAAAAAAAFtDb250ZW50X1R5cGVzXS54bWxQSwECLQAUAAYACAAAACEAOP0h/9YAAACU&#10;AQAACwAAAAAAAAAAAAAAAAAvAQAAX3JlbHMvLnJlbHNQSwECLQAUAAYACAAAACEAvfSXDkQCAACC&#10;BAAADgAAAAAAAAAAAAAAAAAuAgAAZHJzL2Uyb0RvYy54bWxQSwECLQAUAAYACAAAACEAWrI8Ot4A&#10;AAAFAQAADwAAAAAAAAAAAAAAAACeBAAAZHJzL2Rvd25yZXYueG1sUEsFBgAAAAAEAAQA8wAAAKkF&#10;AAAAAA==&#10;" fillcolor="white [3201]" stroked="f" strokeweight=".5pt">
                <v:textbox>
                  <w:txbxContent>
                    <w:p w:rsidR="005562ED" w:rsidRPr="00EE7A9B" w:rsidRDefault="005562ED" w:rsidP="00EE7A9B">
                      <w:pPr>
                        <w:rPr>
                          <w:rFonts w:cstheme="minorHAnsi"/>
                          <w:sz w:val="20"/>
                          <w:szCs w:val="20"/>
                        </w:rPr>
                      </w:pPr>
                      <w:r w:rsidRPr="00EE7A9B">
                        <w:rPr>
                          <w:rFonts w:cstheme="minorHAnsi"/>
                          <w:b/>
                          <w:bCs/>
                          <w:sz w:val="20"/>
                          <w:szCs w:val="20"/>
                        </w:rPr>
                        <w:t>Table1</w:t>
                      </w:r>
                      <w:r w:rsidRPr="00EE7A9B">
                        <w:rPr>
                          <w:rFonts w:cstheme="minorHAnsi"/>
                          <w:sz w:val="20"/>
                          <w:szCs w:val="20"/>
                        </w:rPr>
                        <w:t>: 3D and Image-Based Representations for Polymeric Morphology. Summary of data modalities, inherent limitations, and compatible deep learning architectures.</w:t>
                      </w:r>
                    </w:p>
                  </w:txbxContent>
                </v:textbox>
                <w10:wrap anchorx="margin"/>
              </v:shape>
            </w:pict>
          </mc:Fallback>
        </mc:AlternateContent>
      </w:r>
    </w:p>
    <w:p w:rsidR="00B90324" w:rsidRPr="00B90324" w:rsidRDefault="00897132" w:rsidP="00B90324">
      <w:pPr>
        <w:spacing w:before="240" w:after="0" w:line="360" w:lineRule="auto"/>
        <w:jc w:val="both"/>
        <w:rPr>
          <w:rFonts w:cstheme="minorHAnsi"/>
          <w:b/>
          <w:bCs/>
        </w:rPr>
      </w:pPr>
      <w:r w:rsidRPr="00B90324">
        <w:rPr>
          <w:rFonts w:cstheme="minorHAnsi"/>
          <w:b/>
          <w:bCs/>
        </w:rPr>
        <w:lastRenderedPageBreak/>
        <w:t xml:space="preserve">2.5.5 Forward Outlook </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A long-term goal is developing unified generative models connecting chemistry, processing history, and resulting 3D morphology within a single framework. For example, a morphology-generating diffusion model conditioned on a polymer graph and processing time series could enable inverse design of materials whose function emerges from controlled spatial disorder. Achieving this requires generative architectures like diffusion models [54] or variational autoencoders [74] accepting structured inputs spanning graphs, sequences, and temporal processing data. These would support end-to-end design workflows where chemistry and processing jointly determine morphology and material properties. Each prior representation captures only part of the polymer story; no single encoding spans all relevant scales. Multimodal and hybrid approaches are necessary.</w:t>
      </w:r>
    </w:p>
    <w:p w:rsidR="00B90324" w:rsidRDefault="00897132" w:rsidP="00B90324">
      <w:pPr>
        <w:spacing w:before="240" w:after="0" w:line="360" w:lineRule="auto"/>
        <w:jc w:val="both"/>
        <w:rPr>
          <w:rFonts w:cstheme="minorHAnsi"/>
          <w:sz w:val="20"/>
          <w:szCs w:val="20"/>
        </w:rPr>
      </w:pPr>
      <w:r w:rsidRPr="00B90324">
        <w:rPr>
          <w:rFonts w:cstheme="minorHAnsi"/>
          <w:b/>
          <w:bCs/>
        </w:rPr>
        <w:t>2.6 Multimodal and Hybrid Representations: Integrating Information</w:t>
      </w:r>
      <w:r w:rsidR="00B90324" w:rsidRPr="00B90324">
        <w:rPr>
          <w:rFonts w:cstheme="minorHAnsi"/>
          <w:b/>
          <w:bCs/>
        </w:rPr>
        <w:t xml:space="preserve"> </w:t>
      </w:r>
      <w:r w:rsidRPr="00B90324">
        <w:rPr>
          <w:rFonts w:cstheme="minorHAnsi"/>
          <w:b/>
          <w:bCs/>
        </w:rPr>
        <w:t>Across Scales</w:t>
      </w:r>
      <w:r w:rsidRPr="006C7800">
        <w:rPr>
          <w:rFonts w:cstheme="minorHAnsi"/>
          <w:sz w:val="20"/>
          <w:szCs w:val="20"/>
        </w:rPr>
        <w:t xml:space="preserve"> </w:t>
      </w:r>
    </w:p>
    <w:p w:rsidR="00897132" w:rsidRPr="006C7800" w:rsidRDefault="00897132" w:rsidP="00B90324">
      <w:pPr>
        <w:spacing w:after="0" w:line="360" w:lineRule="auto"/>
        <w:jc w:val="both"/>
        <w:rPr>
          <w:rFonts w:cstheme="minorHAnsi"/>
          <w:sz w:val="20"/>
          <w:szCs w:val="20"/>
        </w:rPr>
      </w:pPr>
      <w:r w:rsidRPr="006C7800">
        <w:rPr>
          <w:rFonts w:cstheme="minorHAnsi"/>
          <w:sz w:val="20"/>
          <w:szCs w:val="20"/>
        </w:rPr>
        <w:t>Polymer properties emerge from a structured causal chain where chemistry determines topology, topology interacts with processing, and processing produces multiscale morphology. Unimodal representations (strings, graphs, images, time series) capture only isolated fragments. The central computational challenge is fusing heterogeneous data streams into a joint latent space supporting cross-modal reasoning, generalization, and disentanglement of underlying physical factors. Multimodal [16] and hybrid learning frameworks [161] address this by integrating diverse modalities [107] and embedding physical constraints, shifting the field from isolated predictors toward unified computational systems for polymer informatics [57].</w:t>
      </w:r>
    </w:p>
    <w:p w:rsidR="00B90324" w:rsidRPr="00B90324" w:rsidRDefault="00897132" w:rsidP="00B90324">
      <w:pPr>
        <w:spacing w:before="240" w:after="0" w:line="360" w:lineRule="auto"/>
        <w:jc w:val="both"/>
        <w:rPr>
          <w:rFonts w:cstheme="minorHAnsi"/>
          <w:b/>
          <w:bCs/>
        </w:rPr>
      </w:pPr>
      <w:r w:rsidRPr="00B90324">
        <w:rPr>
          <w:rFonts w:cstheme="minorHAnsi"/>
          <w:b/>
          <w:bCs/>
        </w:rPr>
        <w:t xml:space="preserve">2.6.1 Fusion Architectures: Design Patterns for Modality Integration </w:t>
      </w:r>
    </w:p>
    <w:p w:rsidR="00EE7A9B" w:rsidRDefault="00897132" w:rsidP="004D0E2F">
      <w:pPr>
        <w:spacing w:after="0" w:line="360" w:lineRule="auto"/>
        <w:jc w:val="both"/>
        <w:rPr>
          <w:rFonts w:cstheme="minorHAnsi"/>
          <w:sz w:val="20"/>
          <w:szCs w:val="20"/>
        </w:rPr>
      </w:pPr>
      <w:r w:rsidRPr="006C7800">
        <w:rPr>
          <w:rFonts w:cstheme="minorHAnsi"/>
          <w:sz w:val="20"/>
          <w:szCs w:val="20"/>
        </w:rPr>
        <w:t xml:space="preserve">Five major fusion strategies, presented in Table 2, define the design space for multimodal polymer models. </w:t>
      </w:r>
    </w:p>
    <w:p w:rsidR="00EE7A9B" w:rsidRDefault="00897132" w:rsidP="004D0E2F">
      <w:pPr>
        <w:spacing w:after="0" w:line="360" w:lineRule="auto"/>
        <w:jc w:val="both"/>
        <w:rPr>
          <w:rFonts w:cstheme="minorHAnsi"/>
          <w:sz w:val="20"/>
          <w:szCs w:val="20"/>
        </w:rPr>
      </w:pPr>
      <w:r w:rsidRPr="00EE7A9B">
        <w:rPr>
          <w:rFonts w:cstheme="minorHAnsi"/>
          <w:b/>
          <w:bCs/>
          <w:sz w:val="20"/>
          <w:szCs w:val="20"/>
        </w:rPr>
        <w:t>Early fusion</w:t>
      </w:r>
      <w:r w:rsidRPr="006C7800">
        <w:rPr>
          <w:rFonts w:cstheme="minorHAnsi"/>
          <w:sz w:val="20"/>
          <w:szCs w:val="20"/>
        </w:rPr>
        <w:t xml:space="preserve"> combines aligned, dense feature sets at the input, enabling simple low-level interactions but requiring complete, noise-free modalities. </w:t>
      </w:r>
    </w:p>
    <w:p w:rsidR="00EE7A9B" w:rsidRDefault="00897132" w:rsidP="004D0E2F">
      <w:pPr>
        <w:spacing w:after="0" w:line="360" w:lineRule="auto"/>
        <w:jc w:val="both"/>
        <w:rPr>
          <w:rFonts w:cstheme="minorHAnsi"/>
          <w:sz w:val="20"/>
          <w:szCs w:val="20"/>
        </w:rPr>
      </w:pPr>
      <w:r w:rsidRPr="00EE7A9B">
        <w:rPr>
          <w:rFonts w:cstheme="minorHAnsi"/>
          <w:b/>
          <w:bCs/>
          <w:sz w:val="20"/>
          <w:szCs w:val="20"/>
        </w:rPr>
        <w:t>Late fusion</w:t>
      </w:r>
      <w:r w:rsidRPr="006C7800">
        <w:rPr>
          <w:rFonts w:cstheme="minorHAnsi"/>
          <w:sz w:val="20"/>
          <w:szCs w:val="20"/>
        </w:rPr>
        <w:t xml:space="preserve"> processes each modality independently before combining predictions, offering modularity and robustness to missing data but limiting nonlinear cross-modal interactions. </w:t>
      </w:r>
    </w:p>
    <w:p w:rsidR="00EE7A9B" w:rsidRDefault="00897132" w:rsidP="004D0E2F">
      <w:pPr>
        <w:spacing w:after="0" w:line="360" w:lineRule="auto"/>
        <w:jc w:val="both"/>
        <w:rPr>
          <w:rFonts w:cstheme="minorHAnsi"/>
          <w:sz w:val="20"/>
          <w:szCs w:val="20"/>
        </w:rPr>
      </w:pPr>
      <w:r w:rsidRPr="00EE7A9B">
        <w:rPr>
          <w:rFonts w:cstheme="minorHAnsi"/>
          <w:b/>
          <w:bCs/>
          <w:sz w:val="20"/>
          <w:szCs w:val="20"/>
        </w:rPr>
        <w:t xml:space="preserve">Cross-modal </w:t>
      </w:r>
      <w:r w:rsidRPr="006C7800">
        <w:rPr>
          <w:rFonts w:cstheme="minorHAnsi"/>
          <w:sz w:val="20"/>
          <w:szCs w:val="20"/>
        </w:rPr>
        <w:t xml:space="preserve">fusion allows modalities to condition one another, capturing deep interdependencies and supporting conditional generation, though demanding large, well-aligned datasets. </w:t>
      </w:r>
    </w:p>
    <w:p w:rsidR="00EE7A9B" w:rsidRDefault="00897132" w:rsidP="004D0E2F">
      <w:pPr>
        <w:spacing w:after="0" w:line="360" w:lineRule="auto"/>
        <w:jc w:val="both"/>
        <w:rPr>
          <w:rFonts w:cstheme="minorHAnsi"/>
          <w:sz w:val="20"/>
          <w:szCs w:val="20"/>
        </w:rPr>
      </w:pPr>
      <w:r w:rsidRPr="00EE7A9B">
        <w:rPr>
          <w:rFonts w:cstheme="minorHAnsi"/>
          <w:b/>
          <w:bCs/>
          <w:sz w:val="20"/>
          <w:szCs w:val="20"/>
        </w:rPr>
        <w:t>Gated physics priors</w:t>
      </w:r>
      <w:r w:rsidRPr="006C7800">
        <w:rPr>
          <w:rFonts w:cstheme="minorHAnsi"/>
          <w:sz w:val="20"/>
          <w:szCs w:val="20"/>
        </w:rPr>
        <w:t xml:space="preserve"> integrate differentiable physical constraints directly into the fusion mechanism, improving extrapolation in low-data regimes but requiring explicit physical priors. </w:t>
      </w:r>
    </w:p>
    <w:p w:rsidR="00EE7A9B" w:rsidRDefault="00897132" w:rsidP="004D0E2F">
      <w:pPr>
        <w:spacing w:after="0" w:line="360" w:lineRule="auto"/>
        <w:jc w:val="both"/>
        <w:rPr>
          <w:rFonts w:cstheme="minorHAnsi"/>
          <w:sz w:val="20"/>
          <w:szCs w:val="20"/>
        </w:rPr>
      </w:pPr>
      <w:r w:rsidRPr="00EE7A9B">
        <w:rPr>
          <w:rFonts w:cstheme="minorHAnsi"/>
          <w:b/>
          <w:bCs/>
          <w:sz w:val="20"/>
          <w:szCs w:val="20"/>
        </w:rPr>
        <w:t>Physics-informed constraints</w:t>
      </w:r>
      <w:r w:rsidRPr="006C7800">
        <w:rPr>
          <w:rFonts w:cstheme="minorHAnsi"/>
          <w:sz w:val="20"/>
          <w:szCs w:val="20"/>
        </w:rPr>
        <w:t xml:space="preserve"> enforce invariances or laws within the architecture, ensuring physically plausible outputs but requiring nontrivial implementation. </w:t>
      </w:r>
    </w:p>
    <w:p w:rsidR="00897132" w:rsidRDefault="00897132" w:rsidP="004D0E2F">
      <w:pPr>
        <w:spacing w:after="0" w:line="360" w:lineRule="auto"/>
        <w:jc w:val="both"/>
        <w:rPr>
          <w:rFonts w:cstheme="minorHAnsi"/>
          <w:sz w:val="20"/>
          <w:szCs w:val="20"/>
        </w:rPr>
      </w:pPr>
      <w:r w:rsidRPr="00EE7A9B">
        <w:rPr>
          <w:rFonts w:cstheme="minorHAnsi"/>
          <w:b/>
          <w:bCs/>
          <w:sz w:val="20"/>
          <w:szCs w:val="20"/>
        </w:rPr>
        <w:t>Hybridization Principle</w:t>
      </w:r>
      <w:r w:rsidRPr="006C7800">
        <w:rPr>
          <w:rFonts w:cstheme="minorHAnsi"/>
          <w:sz w:val="20"/>
          <w:szCs w:val="20"/>
        </w:rPr>
        <w:t>: Real polymer systems often require combinations (e.g., late fusion for robustness combined with physics-informed constraints for extrapolation).</w:t>
      </w:r>
    </w:p>
    <w:p w:rsidR="00EE7A9B" w:rsidRDefault="00EE7A9B" w:rsidP="004D0E2F">
      <w:pPr>
        <w:spacing w:after="0" w:line="360" w:lineRule="auto"/>
        <w:jc w:val="both"/>
        <w:rPr>
          <w:rFonts w:cstheme="minorHAnsi"/>
          <w:sz w:val="20"/>
          <w:szCs w:val="20"/>
        </w:rPr>
      </w:pPr>
    </w:p>
    <w:tbl>
      <w:tblPr>
        <w:tblStyle w:val="PlainTable1"/>
        <w:tblW w:w="0" w:type="auto"/>
        <w:tblLook w:val="04A0" w:firstRow="1" w:lastRow="0" w:firstColumn="1" w:lastColumn="0" w:noHBand="0" w:noVBand="1"/>
      </w:tblPr>
      <w:tblGrid>
        <w:gridCol w:w="1652"/>
        <w:gridCol w:w="1573"/>
        <w:gridCol w:w="1579"/>
        <w:gridCol w:w="1323"/>
        <w:gridCol w:w="1385"/>
        <w:gridCol w:w="1838"/>
      </w:tblGrid>
      <w:tr w:rsidR="00EE7A9B" w:rsidRPr="00EE7A9B" w:rsidTr="00F02B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E7A9B" w:rsidRPr="00EE7A9B" w:rsidRDefault="00EE7A9B" w:rsidP="00EE7A9B">
            <w:pPr>
              <w:spacing w:line="276" w:lineRule="auto"/>
              <w:rPr>
                <w:rFonts w:cstheme="minorHAnsi"/>
                <w:sz w:val="20"/>
                <w:szCs w:val="20"/>
              </w:rPr>
            </w:pPr>
            <w:r w:rsidRPr="00EE7A9B">
              <w:rPr>
                <w:rFonts w:cstheme="minorHAnsi"/>
                <w:sz w:val="20"/>
                <w:szCs w:val="20"/>
              </w:rPr>
              <w:t>Strategy</w:t>
            </w:r>
          </w:p>
        </w:tc>
        <w:tc>
          <w:tcPr>
            <w:tcW w:w="1222" w:type="dxa"/>
            <w:hideMark/>
          </w:tcPr>
          <w:p w:rsidR="00EE7A9B" w:rsidRPr="00EE7A9B" w:rsidRDefault="00EE7A9B" w:rsidP="00EE7A9B">
            <w:pPr>
              <w:spacing w:line="276" w:lineRule="auto"/>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EE7A9B">
              <w:rPr>
                <w:rFonts w:cstheme="minorHAnsi"/>
                <w:sz w:val="20"/>
                <w:szCs w:val="20"/>
              </w:rPr>
              <w:t>Best For</w:t>
            </w:r>
          </w:p>
        </w:tc>
        <w:tc>
          <w:tcPr>
            <w:tcW w:w="1734" w:type="dxa"/>
            <w:hideMark/>
          </w:tcPr>
          <w:p w:rsidR="00EE7A9B" w:rsidRPr="00EE7A9B" w:rsidRDefault="00EE7A9B" w:rsidP="00EE7A9B">
            <w:pPr>
              <w:spacing w:line="276" w:lineRule="auto"/>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EE7A9B">
              <w:rPr>
                <w:rFonts w:cstheme="minorHAnsi"/>
                <w:sz w:val="20"/>
                <w:szCs w:val="20"/>
              </w:rPr>
              <w:t>Strengths</w:t>
            </w:r>
          </w:p>
        </w:tc>
        <w:tc>
          <w:tcPr>
            <w:tcW w:w="0" w:type="auto"/>
            <w:hideMark/>
          </w:tcPr>
          <w:p w:rsidR="00EE7A9B" w:rsidRPr="00EE7A9B" w:rsidRDefault="00EE7A9B" w:rsidP="00EE7A9B">
            <w:pPr>
              <w:spacing w:line="276" w:lineRule="auto"/>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EE7A9B">
              <w:rPr>
                <w:rFonts w:cstheme="minorHAnsi"/>
                <w:sz w:val="20"/>
                <w:szCs w:val="20"/>
              </w:rPr>
              <w:t>Limitations</w:t>
            </w:r>
          </w:p>
        </w:tc>
        <w:tc>
          <w:tcPr>
            <w:tcW w:w="0" w:type="auto"/>
            <w:hideMark/>
          </w:tcPr>
          <w:p w:rsidR="00EE7A9B" w:rsidRPr="00EE7A9B" w:rsidRDefault="00EE7A9B" w:rsidP="00EE7A9B">
            <w:pPr>
              <w:spacing w:line="276" w:lineRule="auto"/>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EE7A9B">
              <w:rPr>
                <w:rFonts w:cstheme="minorHAnsi"/>
                <w:sz w:val="20"/>
                <w:szCs w:val="20"/>
              </w:rPr>
              <w:t>Data Requirements</w:t>
            </w:r>
          </w:p>
        </w:tc>
        <w:tc>
          <w:tcPr>
            <w:tcW w:w="0" w:type="auto"/>
            <w:hideMark/>
          </w:tcPr>
          <w:p w:rsidR="00EE7A9B" w:rsidRPr="00EE7A9B" w:rsidRDefault="00EE7A9B" w:rsidP="00EE7A9B">
            <w:pPr>
              <w:spacing w:line="276" w:lineRule="auto"/>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EE7A9B">
              <w:rPr>
                <w:rFonts w:cstheme="minorHAnsi"/>
                <w:sz w:val="20"/>
                <w:szCs w:val="20"/>
              </w:rPr>
              <w:t>Example Architectures</w:t>
            </w:r>
          </w:p>
        </w:tc>
      </w:tr>
      <w:tr w:rsidR="00EE7A9B" w:rsidRPr="00EE7A9B" w:rsidTr="00EE7A9B">
        <w:trPr>
          <w:cnfStyle w:val="000000100000" w:firstRow="0" w:lastRow="0" w:firstColumn="0" w:lastColumn="0" w:oddVBand="0" w:evenVBand="0" w:oddHBand="1" w:evenHBand="0" w:firstRowFirstColumn="0" w:firstRowLastColumn="0" w:lastRowFirstColumn="0" w:lastRowLastColumn="0"/>
          <w:trHeight w:val="1520"/>
        </w:trPr>
        <w:tc>
          <w:tcPr>
            <w:cnfStyle w:val="001000000000" w:firstRow="0" w:lastRow="0" w:firstColumn="1" w:lastColumn="0" w:oddVBand="0" w:evenVBand="0" w:oddHBand="0" w:evenHBand="0" w:firstRowFirstColumn="0" w:firstRowLastColumn="0" w:lastRowFirstColumn="0" w:lastRowLastColumn="0"/>
            <w:tcW w:w="0" w:type="auto"/>
            <w:hideMark/>
          </w:tcPr>
          <w:p w:rsidR="00EE7A9B" w:rsidRPr="00EE7A9B" w:rsidRDefault="00EE7A9B" w:rsidP="00EE7A9B">
            <w:pPr>
              <w:spacing w:line="276" w:lineRule="auto"/>
              <w:rPr>
                <w:rFonts w:cstheme="minorHAnsi"/>
                <w:b w:val="0"/>
                <w:bCs w:val="0"/>
                <w:sz w:val="20"/>
                <w:szCs w:val="20"/>
              </w:rPr>
            </w:pPr>
            <w:r w:rsidRPr="00EE7A9B">
              <w:rPr>
                <w:rFonts w:cstheme="minorHAnsi"/>
                <w:sz w:val="20"/>
                <w:szCs w:val="20"/>
              </w:rPr>
              <w:lastRenderedPageBreak/>
              <w:t>Early Fusion</w:t>
            </w:r>
          </w:p>
        </w:tc>
        <w:tc>
          <w:tcPr>
            <w:tcW w:w="1222" w:type="dxa"/>
            <w:hideMark/>
          </w:tcPr>
          <w:p w:rsidR="00EE7A9B" w:rsidRPr="00EE7A9B" w:rsidRDefault="00EE7A9B" w:rsidP="00EE7A9B">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E7A9B">
              <w:rPr>
                <w:rFonts w:cstheme="minorHAnsi"/>
                <w:sz w:val="20"/>
                <w:szCs w:val="20"/>
              </w:rPr>
              <w:t>Aligned, dense feature sets</w:t>
            </w:r>
          </w:p>
        </w:tc>
        <w:tc>
          <w:tcPr>
            <w:tcW w:w="1734" w:type="dxa"/>
            <w:hideMark/>
          </w:tcPr>
          <w:p w:rsidR="00EE7A9B" w:rsidRPr="00EE7A9B" w:rsidRDefault="00EE7A9B" w:rsidP="00EE7A9B">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E7A9B">
              <w:rPr>
                <w:rFonts w:cstheme="minorHAnsi"/>
                <w:sz w:val="20"/>
                <w:szCs w:val="20"/>
              </w:rPr>
              <w:t>Simple; low</w:t>
            </w:r>
            <w:r w:rsidRPr="00EE7A9B">
              <w:rPr>
                <w:rFonts w:cstheme="minorHAnsi"/>
                <w:sz w:val="20"/>
                <w:szCs w:val="20"/>
              </w:rPr>
              <w:noBreakHyphen/>
              <w:t>level feature interaction</w:t>
            </w:r>
          </w:p>
        </w:tc>
        <w:tc>
          <w:tcPr>
            <w:tcW w:w="0" w:type="auto"/>
            <w:hideMark/>
          </w:tcPr>
          <w:p w:rsidR="00EE7A9B" w:rsidRPr="00EE7A9B" w:rsidRDefault="00EE7A9B" w:rsidP="00EE7A9B">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E7A9B">
              <w:rPr>
                <w:rFonts w:cstheme="minorHAnsi"/>
                <w:sz w:val="20"/>
                <w:szCs w:val="20"/>
              </w:rPr>
              <w:t>Sensitive to noise; requires complete modalities</w:t>
            </w:r>
          </w:p>
        </w:tc>
        <w:tc>
          <w:tcPr>
            <w:tcW w:w="0" w:type="auto"/>
            <w:hideMark/>
          </w:tcPr>
          <w:p w:rsidR="00EE7A9B" w:rsidRPr="00EE7A9B" w:rsidRDefault="00EE7A9B" w:rsidP="00EE7A9B">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E7A9B">
              <w:rPr>
                <w:rFonts w:cstheme="minorHAnsi"/>
                <w:sz w:val="20"/>
                <w:szCs w:val="20"/>
              </w:rPr>
              <w:t>All modalities present and aligned</w:t>
            </w:r>
          </w:p>
        </w:tc>
        <w:tc>
          <w:tcPr>
            <w:tcW w:w="0" w:type="auto"/>
            <w:hideMark/>
          </w:tcPr>
          <w:p w:rsidR="00EE7A9B" w:rsidRPr="00EE7A9B" w:rsidRDefault="00EE7A9B" w:rsidP="00EE7A9B">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E7A9B">
              <w:rPr>
                <w:rFonts w:cstheme="minorHAnsi"/>
                <w:sz w:val="20"/>
                <w:szCs w:val="20"/>
              </w:rPr>
              <w:t>MLPs, concatenated embeddings</w:t>
            </w:r>
          </w:p>
        </w:tc>
      </w:tr>
      <w:tr w:rsidR="00EE7A9B" w:rsidRPr="00EE7A9B" w:rsidTr="00F02B89">
        <w:tc>
          <w:tcPr>
            <w:cnfStyle w:val="001000000000" w:firstRow="0" w:lastRow="0" w:firstColumn="1" w:lastColumn="0" w:oddVBand="0" w:evenVBand="0" w:oddHBand="0" w:evenHBand="0" w:firstRowFirstColumn="0" w:firstRowLastColumn="0" w:lastRowFirstColumn="0" w:lastRowLastColumn="0"/>
            <w:tcW w:w="0" w:type="auto"/>
            <w:hideMark/>
          </w:tcPr>
          <w:p w:rsidR="00EE7A9B" w:rsidRPr="00EE7A9B" w:rsidRDefault="00EE7A9B" w:rsidP="00EE7A9B">
            <w:pPr>
              <w:spacing w:line="276" w:lineRule="auto"/>
              <w:rPr>
                <w:rFonts w:cstheme="minorHAnsi"/>
                <w:sz w:val="20"/>
                <w:szCs w:val="20"/>
              </w:rPr>
            </w:pPr>
            <w:r w:rsidRPr="00EE7A9B">
              <w:rPr>
                <w:rFonts w:cstheme="minorHAnsi"/>
                <w:sz w:val="20"/>
                <w:szCs w:val="20"/>
              </w:rPr>
              <w:t>Late Fusion</w:t>
            </w:r>
          </w:p>
        </w:tc>
        <w:tc>
          <w:tcPr>
            <w:tcW w:w="1222" w:type="dxa"/>
            <w:hideMark/>
          </w:tcPr>
          <w:p w:rsidR="00EE7A9B" w:rsidRPr="00EE7A9B" w:rsidRDefault="00EE7A9B" w:rsidP="00EE7A9B">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E7A9B">
              <w:rPr>
                <w:rFonts w:cstheme="minorHAnsi"/>
                <w:sz w:val="20"/>
                <w:szCs w:val="20"/>
              </w:rPr>
              <w:t>Missing or asynchronous data</w:t>
            </w:r>
          </w:p>
        </w:tc>
        <w:tc>
          <w:tcPr>
            <w:tcW w:w="1734" w:type="dxa"/>
            <w:hideMark/>
          </w:tcPr>
          <w:p w:rsidR="00EE7A9B" w:rsidRPr="00EE7A9B" w:rsidRDefault="00EE7A9B" w:rsidP="00EE7A9B">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E7A9B">
              <w:rPr>
                <w:rFonts w:cstheme="minorHAnsi"/>
                <w:sz w:val="20"/>
                <w:szCs w:val="20"/>
              </w:rPr>
              <w:t>Modular; interpretable; supports pretrained encoders</w:t>
            </w:r>
          </w:p>
        </w:tc>
        <w:tc>
          <w:tcPr>
            <w:tcW w:w="0" w:type="auto"/>
            <w:hideMark/>
          </w:tcPr>
          <w:p w:rsidR="00EE7A9B" w:rsidRPr="00EE7A9B" w:rsidRDefault="00EE7A9B" w:rsidP="00EE7A9B">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E7A9B">
              <w:rPr>
                <w:rFonts w:cstheme="minorHAnsi"/>
                <w:sz w:val="20"/>
                <w:szCs w:val="20"/>
              </w:rPr>
              <w:t>Limited nonlinear cross</w:t>
            </w:r>
            <w:r w:rsidRPr="00EE7A9B">
              <w:rPr>
                <w:rFonts w:cstheme="minorHAnsi"/>
                <w:sz w:val="20"/>
                <w:szCs w:val="20"/>
              </w:rPr>
              <w:noBreakHyphen/>
              <w:t>modal interactions</w:t>
            </w:r>
          </w:p>
        </w:tc>
        <w:tc>
          <w:tcPr>
            <w:tcW w:w="0" w:type="auto"/>
            <w:hideMark/>
          </w:tcPr>
          <w:p w:rsidR="00EE7A9B" w:rsidRPr="00EE7A9B" w:rsidRDefault="00EE7A9B" w:rsidP="00EE7A9B">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E7A9B">
              <w:rPr>
                <w:rFonts w:cstheme="minorHAnsi"/>
                <w:sz w:val="20"/>
                <w:szCs w:val="20"/>
              </w:rPr>
              <w:t>Robust to missing modalities</w:t>
            </w:r>
          </w:p>
        </w:tc>
        <w:tc>
          <w:tcPr>
            <w:tcW w:w="0" w:type="auto"/>
            <w:hideMark/>
          </w:tcPr>
          <w:p w:rsidR="00EE7A9B" w:rsidRPr="00EE7A9B" w:rsidRDefault="00EE7A9B" w:rsidP="00EE7A9B">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E7A9B">
              <w:rPr>
                <w:rFonts w:cstheme="minorHAnsi"/>
                <w:sz w:val="20"/>
                <w:szCs w:val="20"/>
              </w:rPr>
              <w:t>Attention pooling, ensembles</w:t>
            </w:r>
          </w:p>
        </w:tc>
      </w:tr>
      <w:tr w:rsidR="00EE7A9B" w:rsidRPr="00EE7A9B" w:rsidTr="00F02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E7A9B" w:rsidRPr="00EE7A9B" w:rsidRDefault="00EE7A9B" w:rsidP="00EE7A9B">
            <w:pPr>
              <w:spacing w:line="276" w:lineRule="auto"/>
              <w:rPr>
                <w:rFonts w:cstheme="minorHAnsi"/>
                <w:sz w:val="20"/>
                <w:szCs w:val="20"/>
              </w:rPr>
            </w:pPr>
            <w:r w:rsidRPr="00EE7A9B">
              <w:rPr>
                <w:rFonts w:cstheme="minorHAnsi"/>
                <w:sz w:val="20"/>
                <w:szCs w:val="20"/>
              </w:rPr>
              <w:t>Cross</w:t>
            </w:r>
            <w:r w:rsidRPr="00EE7A9B">
              <w:rPr>
                <w:rFonts w:cstheme="minorHAnsi"/>
                <w:sz w:val="20"/>
                <w:szCs w:val="20"/>
              </w:rPr>
              <w:noBreakHyphen/>
              <w:t>Modal Fusion</w:t>
            </w:r>
          </w:p>
        </w:tc>
        <w:tc>
          <w:tcPr>
            <w:tcW w:w="1222" w:type="dxa"/>
            <w:hideMark/>
          </w:tcPr>
          <w:p w:rsidR="00EE7A9B" w:rsidRPr="00EE7A9B" w:rsidRDefault="00EE7A9B" w:rsidP="00EE7A9B">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E7A9B">
              <w:rPr>
                <w:rFonts w:cstheme="minorHAnsi"/>
                <w:sz w:val="20"/>
                <w:szCs w:val="20"/>
              </w:rPr>
              <w:t>Deep inter</w:t>
            </w:r>
            <w:r w:rsidRPr="00EE7A9B">
              <w:rPr>
                <w:rFonts w:cstheme="minorHAnsi"/>
                <w:sz w:val="20"/>
                <w:szCs w:val="20"/>
              </w:rPr>
              <w:noBreakHyphen/>
              <w:t>modal dependencies</w:t>
            </w:r>
          </w:p>
        </w:tc>
        <w:tc>
          <w:tcPr>
            <w:tcW w:w="1734" w:type="dxa"/>
            <w:hideMark/>
          </w:tcPr>
          <w:p w:rsidR="00EE7A9B" w:rsidRPr="00EE7A9B" w:rsidRDefault="00EE7A9B" w:rsidP="00EE7A9B">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E7A9B">
              <w:rPr>
                <w:rFonts w:cstheme="minorHAnsi"/>
                <w:sz w:val="20"/>
                <w:szCs w:val="20"/>
              </w:rPr>
              <w:t>Captures complex relationships; supports conditional generation</w:t>
            </w:r>
          </w:p>
        </w:tc>
        <w:tc>
          <w:tcPr>
            <w:tcW w:w="0" w:type="auto"/>
            <w:hideMark/>
          </w:tcPr>
          <w:p w:rsidR="00EE7A9B" w:rsidRPr="00EE7A9B" w:rsidRDefault="00EE7A9B" w:rsidP="00EE7A9B">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E7A9B">
              <w:rPr>
                <w:rFonts w:cstheme="minorHAnsi"/>
                <w:sz w:val="20"/>
                <w:szCs w:val="20"/>
              </w:rPr>
              <w:t>Data</w:t>
            </w:r>
            <w:r w:rsidRPr="00EE7A9B">
              <w:rPr>
                <w:rFonts w:cstheme="minorHAnsi"/>
                <w:sz w:val="20"/>
                <w:szCs w:val="20"/>
              </w:rPr>
              <w:noBreakHyphen/>
              <w:t>hungry; requires careful alignment</w:t>
            </w:r>
          </w:p>
        </w:tc>
        <w:tc>
          <w:tcPr>
            <w:tcW w:w="0" w:type="auto"/>
            <w:hideMark/>
          </w:tcPr>
          <w:p w:rsidR="00EE7A9B" w:rsidRPr="00EE7A9B" w:rsidRDefault="00EE7A9B" w:rsidP="00EE7A9B">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E7A9B">
              <w:rPr>
                <w:rFonts w:cstheme="minorHAnsi"/>
                <w:sz w:val="20"/>
                <w:szCs w:val="20"/>
              </w:rPr>
              <w:t>Large, well</w:t>
            </w:r>
            <w:r w:rsidRPr="00EE7A9B">
              <w:rPr>
                <w:rFonts w:cstheme="minorHAnsi"/>
                <w:sz w:val="20"/>
                <w:szCs w:val="20"/>
              </w:rPr>
              <w:noBreakHyphen/>
              <w:t>aligned datasets</w:t>
            </w:r>
          </w:p>
        </w:tc>
        <w:tc>
          <w:tcPr>
            <w:tcW w:w="0" w:type="auto"/>
            <w:hideMark/>
          </w:tcPr>
          <w:p w:rsidR="00EE7A9B" w:rsidRPr="00EE7A9B" w:rsidRDefault="00EE7A9B" w:rsidP="00EE7A9B">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E7A9B">
              <w:rPr>
                <w:rFonts w:cstheme="minorHAnsi"/>
                <w:sz w:val="20"/>
                <w:szCs w:val="20"/>
              </w:rPr>
              <w:t>Multimodal Transformers, co</w:t>
            </w:r>
            <w:r w:rsidRPr="00EE7A9B">
              <w:rPr>
                <w:rFonts w:cstheme="minorHAnsi"/>
                <w:sz w:val="20"/>
                <w:szCs w:val="20"/>
              </w:rPr>
              <w:noBreakHyphen/>
              <w:t>attention</w:t>
            </w:r>
          </w:p>
        </w:tc>
      </w:tr>
      <w:tr w:rsidR="00EE7A9B" w:rsidRPr="00EE7A9B" w:rsidTr="00F02B89">
        <w:tc>
          <w:tcPr>
            <w:cnfStyle w:val="001000000000" w:firstRow="0" w:lastRow="0" w:firstColumn="1" w:lastColumn="0" w:oddVBand="0" w:evenVBand="0" w:oddHBand="0" w:evenHBand="0" w:firstRowFirstColumn="0" w:firstRowLastColumn="0" w:lastRowFirstColumn="0" w:lastRowLastColumn="0"/>
            <w:tcW w:w="0" w:type="auto"/>
            <w:hideMark/>
          </w:tcPr>
          <w:p w:rsidR="00EE7A9B" w:rsidRPr="00EE7A9B" w:rsidRDefault="00EE7A9B" w:rsidP="00EE7A9B">
            <w:pPr>
              <w:spacing w:line="276" w:lineRule="auto"/>
              <w:rPr>
                <w:rFonts w:cstheme="minorHAnsi"/>
                <w:sz w:val="20"/>
                <w:szCs w:val="20"/>
              </w:rPr>
            </w:pPr>
            <w:r w:rsidRPr="00EE7A9B">
              <w:rPr>
                <w:rFonts w:cstheme="minorHAnsi"/>
                <w:sz w:val="20"/>
                <w:szCs w:val="20"/>
              </w:rPr>
              <w:t>Gated Physics Priors</w:t>
            </w:r>
          </w:p>
        </w:tc>
        <w:tc>
          <w:tcPr>
            <w:tcW w:w="1222" w:type="dxa"/>
            <w:hideMark/>
          </w:tcPr>
          <w:p w:rsidR="00EE7A9B" w:rsidRPr="00EE7A9B" w:rsidRDefault="00EE7A9B" w:rsidP="00EE7A9B">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E7A9B">
              <w:rPr>
                <w:rFonts w:cstheme="minorHAnsi"/>
                <w:sz w:val="20"/>
                <w:szCs w:val="20"/>
              </w:rPr>
              <w:t>Low</w:t>
            </w:r>
            <w:r w:rsidRPr="00EE7A9B">
              <w:rPr>
                <w:rFonts w:cstheme="minorHAnsi"/>
                <w:sz w:val="20"/>
                <w:szCs w:val="20"/>
              </w:rPr>
              <w:noBreakHyphen/>
              <w:t>data regimes with strong theory</w:t>
            </w:r>
          </w:p>
        </w:tc>
        <w:tc>
          <w:tcPr>
            <w:tcW w:w="1734" w:type="dxa"/>
            <w:hideMark/>
          </w:tcPr>
          <w:p w:rsidR="00EE7A9B" w:rsidRPr="00EE7A9B" w:rsidRDefault="00EE7A9B" w:rsidP="00EE7A9B">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E7A9B">
              <w:rPr>
                <w:rFonts w:cstheme="minorHAnsi"/>
                <w:sz w:val="20"/>
                <w:szCs w:val="20"/>
              </w:rPr>
              <w:t>Improves extrapolation; embeds physical constraints</w:t>
            </w:r>
          </w:p>
        </w:tc>
        <w:tc>
          <w:tcPr>
            <w:tcW w:w="0" w:type="auto"/>
            <w:hideMark/>
          </w:tcPr>
          <w:p w:rsidR="00EE7A9B" w:rsidRPr="00EE7A9B" w:rsidRDefault="00EE7A9B" w:rsidP="00EE7A9B">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E7A9B">
              <w:rPr>
                <w:rFonts w:cstheme="minorHAnsi"/>
                <w:sz w:val="20"/>
                <w:szCs w:val="20"/>
              </w:rPr>
              <w:t>Requires differentiable priors</w:t>
            </w:r>
          </w:p>
        </w:tc>
        <w:tc>
          <w:tcPr>
            <w:tcW w:w="0" w:type="auto"/>
            <w:hideMark/>
          </w:tcPr>
          <w:p w:rsidR="00EE7A9B" w:rsidRPr="00EE7A9B" w:rsidRDefault="00EE7A9B" w:rsidP="00EE7A9B">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E7A9B">
              <w:rPr>
                <w:rFonts w:cstheme="minorHAnsi"/>
                <w:sz w:val="20"/>
                <w:szCs w:val="20"/>
              </w:rPr>
              <w:t xml:space="preserve"> Effective with scarce data when priors are available</w:t>
            </w:r>
          </w:p>
        </w:tc>
        <w:tc>
          <w:tcPr>
            <w:tcW w:w="0" w:type="auto"/>
            <w:hideMark/>
          </w:tcPr>
          <w:p w:rsidR="00EE7A9B" w:rsidRPr="00EE7A9B" w:rsidRDefault="00EE7A9B" w:rsidP="00EE7A9B">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E7A9B">
              <w:rPr>
                <w:rFonts w:cstheme="minorHAnsi"/>
                <w:sz w:val="20"/>
                <w:szCs w:val="20"/>
              </w:rPr>
              <w:t>Physics</w:t>
            </w:r>
            <w:r w:rsidRPr="00EE7A9B">
              <w:rPr>
                <w:rFonts w:cstheme="minorHAnsi"/>
                <w:sz w:val="20"/>
                <w:szCs w:val="20"/>
              </w:rPr>
              <w:noBreakHyphen/>
              <w:t>conditioned layers</w:t>
            </w:r>
          </w:p>
        </w:tc>
      </w:tr>
      <w:tr w:rsidR="00EE7A9B" w:rsidRPr="00EE7A9B" w:rsidTr="00EE7A9B">
        <w:trPr>
          <w:cnfStyle w:val="000000100000" w:firstRow="0" w:lastRow="0" w:firstColumn="0" w:lastColumn="0" w:oddVBand="0" w:evenVBand="0" w:oddHBand="1" w:evenHBand="0" w:firstRowFirstColumn="0" w:firstRowLastColumn="0" w:lastRowFirstColumn="0" w:lastRowLastColumn="0"/>
          <w:trHeight w:val="1520"/>
        </w:trPr>
        <w:tc>
          <w:tcPr>
            <w:cnfStyle w:val="001000000000" w:firstRow="0" w:lastRow="0" w:firstColumn="1" w:lastColumn="0" w:oddVBand="0" w:evenVBand="0" w:oddHBand="0" w:evenHBand="0" w:firstRowFirstColumn="0" w:firstRowLastColumn="0" w:lastRowFirstColumn="0" w:lastRowLastColumn="0"/>
            <w:tcW w:w="0" w:type="auto"/>
            <w:hideMark/>
          </w:tcPr>
          <w:p w:rsidR="00EE7A9B" w:rsidRPr="00EE7A9B" w:rsidRDefault="00EE7A9B" w:rsidP="00EE7A9B">
            <w:pPr>
              <w:spacing w:line="276" w:lineRule="auto"/>
              <w:rPr>
                <w:rFonts w:cstheme="minorHAnsi"/>
                <w:sz w:val="20"/>
                <w:szCs w:val="20"/>
              </w:rPr>
            </w:pPr>
            <w:r w:rsidRPr="00EE7A9B">
              <w:rPr>
                <w:rFonts w:cstheme="minorHAnsi"/>
                <w:sz w:val="20"/>
                <w:szCs w:val="20"/>
              </w:rPr>
              <w:t>Physics</w:t>
            </w:r>
            <w:r w:rsidRPr="00EE7A9B">
              <w:rPr>
                <w:rFonts w:cstheme="minorHAnsi"/>
                <w:sz w:val="20"/>
                <w:szCs w:val="20"/>
              </w:rPr>
              <w:noBreakHyphen/>
              <w:t>Informed Constraints</w:t>
            </w:r>
          </w:p>
        </w:tc>
        <w:tc>
          <w:tcPr>
            <w:tcW w:w="1222" w:type="dxa"/>
            <w:hideMark/>
          </w:tcPr>
          <w:p w:rsidR="00EE7A9B" w:rsidRPr="00EE7A9B" w:rsidRDefault="00EE7A9B" w:rsidP="00EE7A9B">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E7A9B">
              <w:rPr>
                <w:rFonts w:cstheme="minorHAnsi"/>
                <w:sz w:val="20"/>
                <w:szCs w:val="20"/>
              </w:rPr>
              <w:t>Enforcing invariances/laws</w:t>
            </w:r>
          </w:p>
        </w:tc>
        <w:tc>
          <w:tcPr>
            <w:tcW w:w="1734" w:type="dxa"/>
            <w:hideMark/>
          </w:tcPr>
          <w:p w:rsidR="00EE7A9B" w:rsidRPr="00EE7A9B" w:rsidRDefault="00EE7A9B" w:rsidP="00EE7A9B">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E7A9B">
              <w:rPr>
                <w:rFonts w:cstheme="minorHAnsi"/>
                <w:sz w:val="20"/>
                <w:szCs w:val="20"/>
              </w:rPr>
              <w:t>Ensures physical plausibility</w:t>
            </w:r>
          </w:p>
        </w:tc>
        <w:tc>
          <w:tcPr>
            <w:tcW w:w="0" w:type="auto"/>
            <w:hideMark/>
          </w:tcPr>
          <w:p w:rsidR="00EE7A9B" w:rsidRPr="00EE7A9B" w:rsidRDefault="00EE7A9B" w:rsidP="00EE7A9B">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E7A9B">
              <w:rPr>
                <w:rFonts w:cstheme="minorHAnsi"/>
                <w:sz w:val="20"/>
                <w:szCs w:val="20"/>
              </w:rPr>
              <w:t>Nontrivial to implement</w:t>
            </w:r>
          </w:p>
        </w:tc>
        <w:tc>
          <w:tcPr>
            <w:tcW w:w="0" w:type="auto"/>
            <w:hideMark/>
          </w:tcPr>
          <w:p w:rsidR="00EE7A9B" w:rsidRPr="00EE7A9B" w:rsidRDefault="00EE7A9B" w:rsidP="00EE7A9B">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E7A9B">
              <w:rPr>
                <w:rFonts w:cstheme="minorHAnsi"/>
                <w:sz w:val="20"/>
                <w:szCs w:val="20"/>
              </w:rPr>
              <w:t>Requires known, differentiable  laws or invariants</w:t>
            </w:r>
          </w:p>
        </w:tc>
        <w:tc>
          <w:tcPr>
            <w:tcW w:w="0" w:type="auto"/>
            <w:hideMark/>
          </w:tcPr>
          <w:p w:rsidR="00EE7A9B" w:rsidRPr="00EE7A9B" w:rsidRDefault="00EE7A9B" w:rsidP="00EE7A9B">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E7A9B">
              <w:rPr>
                <w:rFonts w:cstheme="minorHAnsi"/>
                <w:sz w:val="20"/>
                <w:szCs w:val="20"/>
              </w:rPr>
              <w:t>PINNs, equivariant GNNs</w:t>
            </w:r>
          </w:p>
        </w:tc>
      </w:tr>
    </w:tbl>
    <w:p w:rsidR="00EE7A9B" w:rsidRDefault="00EE7A9B" w:rsidP="004D0E2F">
      <w:pPr>
        <w:spacing w:after="0" w:line="360" w:lineRule="auto"/>
        <w:jc w:val="both"/>
        <w:rPr>
          <w:rFonts w:cstheme="minorHAnsi"/>
          <w:sz w:val="20"/>
          <w:szCs w:val="20"/>
        </w:rPr>
      </w:pPr>
      <w:r w:rsidRPr="00DE4DC4">
        <w:rPr>
          <w:rFonts w:asciiTheme="majorBidi" w:hAnsiTheme="majorBidi" w:cstheme="majorBidi"/>
          <w:noProof/>
        </w:rPr>
        <mc:AlternateContent>
          <mc:Choice Requires="wps">
            <w:drawing>
              <wp:anchor distT="0" distB="0" distL="114300" distR="114300" simplePos="0" relativeHeight="251667456" behindDoc="0" locked="0" layoutInCell="1" allowOverlap="1" wp14:anchorId="69B76FEA" wp14:editId="3D4D664F">
                <wp:simplePos x="0" y="0"/>
                <wp:positionH relativeFrom="margin">
                  <wp:align>left</wp:align>
                </wp:positionH>
                <wp:positionV relativeFrom="paragraph">
                  <wp:posOffset>89535</wp:posOffset>
                </wp:positionV>
                <wp:extent cx="6429375" cy="419100"/>
                <wp:effectExtent l="0" t="0" r="9525" b="0"/>
                <wp:wrapNone/>
                <wp:docPr id="26" name="Text Box 26"/>
                <wp:cNvGraphicFramePr/>
                <a:graphic xmlns:a="http://schemas.openxmlformats.org/drawingml/2006/main">
                  <a:graphicData uri="http://schemas.microsoft.com/office/word/2010/wordprocessingShape">
                    <wps:wsp>
                      <wps:cNvSpPr txBox="1"/>
                      <wps:spPr>
                        <a:xfrm>
                          <a:off x="0" y="0"/>
                          <a:ext cx="6429375" cy="419100"/>
                        </a:xfrm>
                        <a:prstGeom prst="rect">
                          <a:avLst/>
                        </a:prstGeom>
                        <a:solidFill>
                          <a:schemeClr val="lt1"/>
                        </a:solidFill>
                        <a:ln w="6350">
                          <a:noFill/>
                        </a:ln>
                      </wps:spPr>
                      <wps:txbx>
                        <w:txbxContent>
                          <w:p w:rsidR="005562ED" w:rsidRPr="00EE7A9B" w:rsidRDefault="005562ED" w:rsidP="00EE7A9B">
                            <w:pPr>
                              <w:rPr>
                                <w:rFonts w:cstheme="minorHAnsi"/>
                                <w:sz w:val="18"/>
                                <w:szCs w:val="18"/>
                              </w:rPr>
                            </w:pPr>
                            <w:r w:rsidRPr="00EE7A9B">
                              <w:rPr>
                                <w:rFonts w:cstheme="minorHAnsi"/>
                                <w:b/>
                                <w:bCs/>
                                <w:sz w:val="18"/>
                                <w:szCs w:val="18"/>
                              </w:rPr>
                              <w:t>Table 2</w:t>
                            </w:r>
                            <w:r w:rsidRPr="00EE7A9B">
                              <w:rPr>
                                <w:rFonts w:cstheme="minorHAnsi"/>
                                <w:sz w:val="18"/>
                                <w:szCs w:val="18"/>
                              </w:rPr>
                              <w:t>: Comparative Analysis of Fusion Strategies for Multimodal Polymer Informatics. Architectural design patterns, highlighting the trade-offs between modularity, physical fidelity, and data 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76FEA" id="Text Box 26" o:spid="_x0000_s1029" type="#_x0000_t202" style="position:absolute;left:0;text-align:left;margin-left:0;margin-top:7.05pt;width:506.25pt;height:33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358RgIAAIIEAAAOAAAAZHJzL2Uyb0RvYy54bWysVE1v2zAMvQ/YfxB0X5zPdjHqFFmLDgOK&#10;tkA69KzIcmxAFjVJid39+j3JSdt1Ow27yBRJ8eM90heXfavZQTnfkCn4ZDTmTBlJZWN2Bf/+ePPp&#10;M2c+CFMKTUYV/Fl5frn6+OGis7maUk26VI4hiPF5Zwteh2DzLPOyVq3wI7LKwFiRa0XA1e2y0okO&#10;0VudTcfjs6wjV1pHUnkP7fVg5KsUv6qUDPdV5VVguuCoLaTTpXMbz2x1IfKdE7Zu5LEM8Q9VtKIx&#10;SPoS6loEwfau+SNU20hHnqowktRmVFWNVKkHdDMZv+tmUwurUi8Ax9sXmPz/CyvvDg+ONWXBp2ec&#10;GdGCo0fVB/aFegYV8Omsz+G2sXAMPfTg+aT3UMa2+8q18YuGGOxA+vkF3RhNQnk2ny5n5wvOJGzz&#10;yXIyTvBnr6+t8+GropZFoeAO7CVQxeHWB1QC15NLTOZJN+VNo3W6xIlRV9qxgwDXOqQa8eI3L21Y&#10;h0pmi3EKbCg+HyJrgwSx16GnKIV+2ydsZqd+t1Q+AwZHwyB5K28a1HorfHgQDpODzrEN4R5HpQm5&#10;6ChxVpP7+Td99AehsHLWYRIL7n/shVOc6W8GVC8n83kc3XSZL86nuLi3lu1bi9m3VwQAJtg7K5MY&#10;/YM+iZWj9glLs45ZYRJGInfBw0m8CsN+YOmkWq+TE4bVinBrNlbG0BHwyMRj/yScPdIVQPQdnWZW&#10;5O9YG3zjS0PrfaCqSZRGnAdUj/Bj0BPTx6WMm/T2nrxefx2rXwAAAP//AwBQSwMEFAAGAAgAAAAh&#10;AA+DhULfAAAABwEAAA8AAABkcnMvZG93bnJldi54bWxMj81OwzAQhO9IvIO1SFxQa6elUIVsKoT4&#10;kXqjKSBubrwkEfE6it0kvD3uCY47M5r5NttMthUD9b5xjJDMFQji0pmGK4R98TRbg/BBs9GtY0L4&#10;IQ+b/Pws06lxI7/SsAuViCXsU41Qh9ClUvqyJqv93HXE0ftyvdUhnn0lTa/HWG5buVDqRlrdcFyo&#10;dUcPNZXfu6NF+LyqPrZ+en4bl6tl9/gyFLfvpkC8vJju70AEmsJfGE74ER3yyHRwRzZetAjxkRDV&#10;6wTEyVXJYgXigLBWCcg8k//5818AAAD//wMAUEsBAi0AFAAGAAgAAAAhALaDOJL+AAAA4QEAABMA&#10;AAAAAAAAAAAAAAAAAAAAAFtDb250ZW50X1R5cGVzXS54bWxQSwECLQAUAAYACAAAACEAOP0h/9YA&#10;AACUAQAACwAAAAAAAAAAAAAAAAAvAQAAX3JlbHMvLnJlbHNQSwECLQAUAAYACAAAACEAgJt+fEYC&#10;AACCBAAADgAAAAAAAAAAAAAAAAAuAgAAZHJzL2Uyb0RvYy54bWxQSwECLQAUAAYACAAAACEAD4OF&#10;Qt8AAAAHAQAADwAAAAAAAAAAAAAAAACgBAAAZHJzL2Rvd25yZXYueG1sUEsFBgAAAAAEAAQA8wAA&#10;AKwFAAAAAA==&#10;" fillcolor="white [3201]" stroked="f" strokeweight=".5pt">
                <v:textbox>
                  <w:txbxContent>
                    <w:p w:rsidR="005562ED" w:rsidRPr="00EE7A9B" w:rsidRDefault="005562ED" w:rsidP="00EE7A9B">
                      <w:pPr>
                        <w:rPr>
                          <w:rFonts w:cstheme="minorHAnsi"/>
                          <w:sz w:val="18"/>
                          <w:szCs w:val="18"/>
                        </w:rPr>
                      </w:pPr>
                      <w:r w:rsidRPr="00EE7A9B">
                        <w:rPr>
                          <w:rFonts w:cstheme="minorHAnsi"/>
                          <w:b/>
                          <w:bCs/>
                          <w:sz w:val="18"/>
                          <w:szCs w:val="18"/>
                        </w:rPr>
                        <w:t>Table 2</w:t>
                      </w:r>
                      <w:r w:rsidRPr="00EE7A9B">
                        <w:rPr>
                          <w:rFonts w:cstheme="minorHAnsi"/>
                          <w:sz w:val="18"/>
                          <w:szCs w:val="18"/>
                        </w:rPr>
                        <w:t>: Comparative Analysis of Fusion Strategies for Multimodal Polymer Informatics. Architectural design patterns, highlighting the trade-offs between modularity, physical fidelity, and data requirements.</w:t>
                      </w:r>
                    </w:p>
                  </w:txbxContent>
                </v:textbox>
                <w10:wrap anchorx="margin"/>
              </v:shape>
            </w:pict>
          </mc:Fallback>
        </mc:AlternateContent>
      </w:r>
    </w:p>
    <w:p w:rsidR="00EE7A9B" w:rsidRPr="006C7800" w:rsidRDefault="00EE7A9B" w:rsidP="004D0E2F">
      <w:pPr>
        <w:spacing w:after="0" w:line="360" w:lineRule="auto"/>
        <w:jc w:val="both"/>
        <w:rPr>
          <w:rFonts w:cstheme="minorHAnsi"/>
          <w:sz w:val="20"/>
          <w:szCs w:val="20"/>
        </w:rPr>
      </w:pPr>
    </w:p>
    <w:p w:rsidR="00B90324" w:rsidRPr="00B90324" w:rsidRDefault="00897132" w:rsidP="00B90324">
      <w:pPr>
        <w:spacing w:before="240" w:after="0" w:line="360" w:lineRule="auto"/>
        <w:jc w:val="both"/>
        <w:rPr>
          <w:rFonts w:cstheme="minorHAnsi"/>
          <w:b/>
          <w:bCs/>
        </w:rPr>
      </w:pPr>
      <w:r w:rsidRPr="00B90324">
        <w:rPr>
          <w:rFonts w:cstheme="minorHAnsi"/>
          <w:b/>
          <w:bCs/>
        </w:rPr>
        <w:t xml:space="preserve">2.6.2 Physics as Computational Constraints </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Physical knowledge is embedded into multimodal architectures through complementary mechanisms:</w:t>
      </w:r>
    </w:p>
    <w:p w:rsidR="00897132" w:rsidRPr="006C7800" w:rsidRDefault="00897132" w:rsidP="004D0E2F">
      <w:pPr>
        <w:numPr>
          <w:ilvl w:val="0"/>
          <w:numId w:val="8"/>
        </w:numPr>
        <w:spacing w:after="0" w:line="360" w:lineRule="auto"/>
        <w:jc w:val="both"/>
        <w:rPr>
          <w:rFonts w:cstheme="minorHAnsi"/>
          <w:sz w:val="20"/>
          <w:szCs w:val="20"/>
        </w:rPr>
      </w:pPr>
      <w:r w:rsidRPr="006C7800">
        <w:rPr>
          <w:rFonts w:cstheme="minorHAnsi"/>
          <w:sz w:val="20"/>
          <w:szCs w:val="20"/>
        </w:rPr>
        <w:t>Soft constraints (loss-based): Penalty terms enforce thermodynamic bounds, scaling relations, or trends grounded in classical polymer thermodynamics [8, 34, 35].</w:t>
      </w:r>
    </w:p>
    <w:p w:rsidR="00897132" w:rsidRPr="006C7800" w:rsidRDefault="00897132" w:rsidP="004D0E2F">
      <w:pPr>
        <w:numPr>
          <w:ilvl w:val="0"/>
          <w:numId w:val="8"/>
        </w:numPr>
        <w:spacing w:after="0" w:line="360" w:lineRule="auto"/>
        <w:jc w:val="both"/>
        <w:rPr>
          <w:rFonts w:cstheme="minorHAnsi"/>
          <w:sz w:val="20"/>
          <w:szCs w:val="20"/>
        </w:rPr>
      </w:pPr>
      <w:r w:rsidRPr="006C7800">
        <w:rPr>
          <w:rFonts w:cstheme="minorHAnsi"/>
          <w:sz w:val="20"/>
          <w:szCs w:val="20"/>
        </w:rPr>
        <w:t>Hard constraints (architectural): Symmetries like E(3) equivariance or conservation laws are encoded directly into model structure.</w:t>
      </w:r>
    </w:p>
    <w:p w:rsidR="00897132" w:rsidRPr="006C7800" w:rsidRDefault="00897132" w:rsidP="004D0E2F">
      <w:pPr>
        <w:numPr>
          <w:ilvl w:val="0"/>
          <w:numId w:val="8"/>
        </w:numPr>
        <w:spacing w:after="0" w:line="360" w:lineRule="auto"/>
        <w:jc w:val="both"/>
        <w:rPr>
          <w:rFonts w:cstheme="minorHAnsi"/>
          <w:sz w:val="20"/>
          <w:szCs w:val="20"/>
        </w:rPr>
      </w:pPr>
      <w:r w:rsidRPr="006C7800">
        <w:rPr>
          <w:rFonts w:cstheme="minorHAnsi"/>
          <w:sz w:val="20"/>
          <w:szCs w:val="20"/>
        </w:rPr>
        <w:t>Auxiliary tasks: Predicting intermediate physical quantities (e.g., domain spacing, tortuosity) forces the latent space to encode meaningful physical factors. These mechanisms are not mutually exclusive and are often integrated within fusion architectures; e.g., a Cross-Modal Fusion network may employ Soft Constraints in its loss function. These are crucial for polymer informatics, improving generalization beyond training data, enhancing interpretability by grounding predictions in known physics, and providing robustness, mitigating risks from data scarcity and simulator artifacts.</w:t>
      </w:r>
    </w:p>
    <w:p w:rsidR="00B85B57" w:rsidRPr="00B85B57" w:rsidRDefault="00897132" w:rsidP="00B85B57">
      <w:pPr>
        <w:spacing w:before="240" w:after="0" w:line="360" w:lineRule="auto"/>
        <w:jc w:val="both"/>
        <w:rPr>
          <w:rFonts w:cstheme="minorHAnsi"/>
          <w:b/>
          <w:bCs/>
        </w:rPr>
      </w:pPr>
      <w:r w:rsidRPr="00B85B57">
        <w:rPr>
          <w:rFonts w:cstheme="minorHAnsi"/>
          <w:b/>
          <w:bCs/>
        </w:rPr>
        <w:lastRenderedPageBreak/>
        <w:t xml:space="preserve">2.6.3 Case Study: A Multimodal Architecture for Ionic Conductivity </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Predicting ionic conductivity in block copolymer electrolytes requires holistic integration of hierarchical data modalities to capture the full structure-property relationship:</w:t>
      </w:r>
    </w:p>
    <w:p w:rsidR="00897132" w:rsidRPr="006C7800" w:rsidRDefault="00897132" w:rsidP="004D0E2F">
      <w:pPr>
        <w:numPr>
          <w:ilvl w:val="0"/>
          <w:numId w:val="9"/>
        </w:numPr>
        <w:spacing w:after="0" w:line="360" w:lineRule="auto"/>
        <w:jc w:val="both"/>
        <w:rPr>
          <w:rFonts w:cstheme="minorHAnsi"/>
          <w:sz w:val="20"/>
          <w:szCs w:val="20"/>
        </w:rPr>
      </w:pPr>
      <w:r w:rsidRPr="00B85B57">
        <w:rPr>
          <w:rFonts w:cstheme="minorHAnsi"/>
          <w:b/>
          <w:bCs/>
          <w:sz w:val="20"/>
          <w:szCs w:val="20"/>
        </w:rPr>
        <w:t>Chemistry/Sequence</w:t>
      </w:r>
      <w:r w:rsidRPr="006C7800">
        <w:rPr>
          <w:rFonts w:cstheme="minorHAnsi"/>
          <w:sz w:val="20"/>
          <w:szCs w:val="20"/>
        </w:rPr>
        <w:t>: BigSMILES representations processed via a sequence-based encoder (e.g., Transformer) to capture monomer-specific ion-coordination sites.</w:t>
      </w:r>
    </w:p>
    <w:p w:rsidR="00897132" w:rsidRPr="006C7800" w:rsidRDefault="00897132" w:rsidP="004D0E2F">
      <w:pPr>
        <w:numPr>
          <w:ilvl w:val="0"/>
          <w:numId w:val="9"/>
        </w:numPr>
        <w:spacing w:after="0" w:line="360" w:lineRule="auto"/>
        <w:jc w:val="both"/>
        <w:rPr>
          <w:rFonts w:cstheme="minorHAnsi"/>
          <w:sz w:val="20"/>
          <w:szCs w:val="20"/>
        </w:rPr>
      </w:pPr>
      <w:r w:rsidRPr="00B85B57">
        <w:rPr>
          <w:rFonts w:cstheme="minorHAnsi"/>
          <w:b/>
          <w:bCs/>
          <w:sz w:val="20"/>
          <w:szCs w:val="20"/>
        </w:rPr>
        <w:t>Macromolecular Statistics</w:t>
      </w:r>
      <w:r w:rsidRPr="006C7800">
        <w:rPr>
          <w:rFonts w:cstheme="minorHAnsi"/>
          <w:sz w:val="20"/>
          <w:szCs w:val="20"/>
        </w:rPr>
        <w:t>: Molecular weight distributions and dispersity (Ð) processed by a dense feature extractor (e.g., MLP) to account for chain-length heterogeneity.</w:t>
      </w:r>
    </w:p>
    <w:p w:rsidR="00897132" w:rsidRPr="006C7800" w:rsidRDefault="00897132" w:rsidP="004D0E2F">
      <w:pPr>
        <w:numPr>
          <w:ilvl w:val="0"/>
          <w:numId w:val="9"/>
        </w:numPr>
        <w:spacing w:after="0" w:line="360" w:lineRule="auto"/>
        <w:jc w:val="both"/>
        <w:rPr>
          <w:rFonts w:cstheme="minorHAnsi"/>
          <w:sz w:val="20"/>
          <w:szCs w:val="20"/>
        </w:rPr>
      </w:pPr>
      <w:r w:rsidRPr="00B85B57">
        <w:rPr>
          <w:rFonts w:cstheme="minorHAnsi"/>
          <w:b/>
          <w:bCs/>
          <w:sz w:val="20"/>
          <w:szCs w:val="20"/>
        </w:rPr>
        <w:t>Nanoscale Morphology:</w:t>
      </w:r>
      <w:r w:rsidRPr="006C7800">
        <w:rPr>
          <w:rFonts w:cstheme="minorHAnsi"/>
          <w:sz w:val="20"/>
          <w:szCs w:val="20"/>
        </w:rPr>
        <w:t xml:space="preserve"> SAXS profiles analyzed via a signal-processing backbone (e.g., 1D CNN) to extract periodic lattice parameters.</w:t>
      </w:r>
    </w:p>
    <w:p w:rsidR="00897132" w:rsidRPr="006C7800" w:rsidRDefault="00897132" w:rsidP="004D0E2F">
      <w:pPr>
        <w:numPr>
          <w:ilvl w:val="0"/>
          <w:numId w:val="9"/>
        </w:numPr>
        <w:spacing w:after="0" w:line="360" w:lineRule="auto"/>
        <w:jc w:val="both"/>
        <w:rPr>
          <w:rFonts w:cstheme="minorHAnsi"/>
          <w:sz w:val="20"/>
          <w:szCs w:val="20"/>
        </w:rPr>
      </w:pPr>
      <w:r w:rsidRPr="00B85B57">
        <w:rPr>
          <w:rFonts w:cstheme="minorHAnsi"/>
          <w:b/>
          <w:bCs/>
          <w:sz w:val="20"/>
          <w:szCs w:val="20"/>
        </w:rPr>
        <w:t>Mesoscale Morphology:</w:t>
      </w:r>
      <w:r w:rsidRPr="006C7800">
        <w:rPr>
          <w:rFonts w:cstheme="minorHAnsi"/>
          <w:sz w:val="20"/>
          <w:szCs w:val="20"/>
        </w:rPr>
        <w:t xml:space="preserve"> AFM or SEM images processed by a spatial feature extractor (e.g., 2D CNN or Vision Transformer) to identify grain boundaries.</w:t>
      </w:r>
    </w:p>
    <w:p w:rsidR="00897132" w:rsidRPr="006C7800" w:rsidRDefault="00897132" w:rsidP="004D0E2F">
      <w:pPr>
        <w:numPr>
          <w:ilvl w:val="0"/>
          <w:numId w:val="9"/>
        </w:numPr>
        <w:spacing w:after="0" w:line="360" w:lineRule="auto"/>
        <w:jc w:val="both"/>
        <w:rPr>
          <w:rFonts w:cstheme="minorHAnsi"/>
          <w:sz w:val="20"/>
          <w:szCs w:val="20"/>
        </w:rPr>
      </w:pPr>
      <w:r w:rsidRPr="00B85B57">
        <w:rPr>
          <w:rFonts w:cstheme="minorHAnsi"/>
          <w:b/>
          <w:bCs/>
          <w:sz w:val="20"/>
          <w:szCs w:val="20"/>
        </w:rPr>
        <w:t xml:space="preserve">Processing History: </w:t>
      </w:r>
      <w:r w:rsidRPr="006C7800">
        <w:rPr>
          <w:rFonts w:cstheme="minorHAnsi"/>
          <w:sz w:val="20"/>
          <w:szCs w:val="20"/>
        </w:rPr>
        <w:t>Time-series data modeled by a temporal architecture (e.g., RNN) to capture the kinetic path toward equilibrium. A cross-modal fusion architecture employing co-attention allows learning the synergistic relationship between monomer chemistry and resulting phase-separated domain structure. By embedding soft physical constraints (e.g., enforcing ionic conductivity scales inversely with geometric tortuosity inferred from morphology encoders), the model remains anchored to transport physics. Implementing such a system typically requires curriculum learning or staged pre-training to account for varying availability and 'information density' of each modality. This case study illustrates multimodal design pattern maturity, highlighting how hybrid models move beyond simple correlation to capture the causal chain from chemical synthesis and processing history to hierarchical morphology and final material performance.</w:t>
      </w:r>
    </w:p>
    <w:p w:rsidR="00B85B57" w:rsidRPr="00B85B57" w:rsidRDefault="00897132" w:rsidP="00B85B57">
      <w:pPr>
        <w:spacing w:before="240" w:after="0" w:line="360" w:lineRule="auto"/>
        <w:jc w:val="both"/>
        <w:rPr>
          <w:rFonts w:cstheme="minorHAnsi"/>
          <w:b/>
          <w:bCs/>
        </w:rPr>
      </w:pPr>
      <w:r w:rsidRPr="00B85B57">
        <w:rPr>
          <w:rFonts w:cstheme="minorHAnsi"/>
          <w:b/>
          <w:bCs/>
        </w:rPr>
        <w:t xml:space="preserve">2.7 Critical Analysis: Design Trade-offs and Open Frontiers </w:t>
      </w:r>
    </w:p>
    <w:p w:rsidR="00897132" w:rsidRDefault="00897132" w:rsidP="004D0E2F">
      <w:pPr>
        <w:spacing w:after="0" w:line="360" w:lineRule="auto"/>
        <w:jc w:val="both"/>
        <w:rPr>
          <w:rFonts w:cstheme="minorHAnsi"/>
          <w:sz w:val="20"/>
          <w:szCs w:val="20"/>
        </w:rPr>
      </w:pPr>
      <w:r w:rsidRPr="006C7800">
        <w:rPr>
          <w:rFonts w:cstheme="minorHAnsi"/>
          <w:sz w:val="20"/>
          <w:szCs w:val="20"/>
        </w:rPr>
        <w:t>Polymer informatics employs a spectrum of representations, from symbolic strings to multimodal graphs, capturing different facets of chemistry and processing. Since no single abstraction is universally sufficient, practitioners must select representation based on target objective and data availability (see Table 3).</w:t>
      </w:r>
    </w:p>
    <w:p w:rsidR="004F0EBA" w:rsidRDefault="004F0EBA" w:rsidP="004D0E2F">
      <w:pPr>
        <w:spacing w:after="0" w:line="360" w:lineRule="auto"/>
        <w:jc w:val="both"/>
        <w:rPr>
          <w:rFonts w:cstheme="minorHAnsi"/>
          <w:sz w:val="20"/>
          <w:szCs w:val="20"/>
        </w:rPr>
      </w:pPr>
    </w:p>
    <w:tbl>
      <w:tblPr>
        <w:tblStyle w:val="PlainTable1"/>
        <w:tblW w:w="0" w:type="auto"/>
        <w:tblLook w:val="04A0" w:firstRow="1" w:lastRow="0" w:firstColumn="1" w:lastColumn="0" w:noHBand="0" w:noVBand="1"/>
      </w:tblPr>
      <w:tblGrid>
        <w:gridCol w:w="1840"/>
        <w:gridCol w:w="1226"/>
        <w:gridCol w:w="1655"/>
        <w:gridCol w:w="1557"/>
        <w:gridCol w:w="1479"/>
        <w:gridCol w:w="1593"/>
      </w:tblGrid>
      <w:tr w:rsidR="004F0EBA" w:rsidRPr="004F0EBA" w:rsidTr="004F0E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4F0EBA" w:rsidRPr="004F0EBA" w:rsidRDefault="004F0EBA" w:rsidP="004F0EBA">
            <w:pPr>
              <w:spacing w:line="276" w:lineRule="auto"/>
              <w:jc w:val="center"/>
              <w:rPr>
                <w:rFonts w:eastAsia="Times New Roman" w:cstheme="minorHAnsi"/>
                <w:sz w:val="20"/>
                <w:szCs w:val="20"/>
              </w:rPr>
            </w:pPr>
            <w:r w:rsidRPr="004F0EBA">
              <w:rPr>
                <w:rFonts w:eastAsia="Times New Roman" w:cstheme="minorHAnsi"/>
                <w:sz w:val="20"/>
                <w:szCs w:val="20"/>
              </w:rPr>
              <w:t>Research Objective </w:t>
            </w:r>
          </w:p>
        </w:tc>
        <w:tc>
          <w:tcPr>
            <w:tcW w:w="1226" w:type="dxa"/>
            <w:hideMark/>
          </w:tcPr>
          <w:p w:rsidR="004F0EBA" w:rsidRPr="004F0EBA" w:rsidRDefault="004F0EBA" w:rsidP="004F0EBA">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Data Regime</w:t>
            </w:r>
          </w:p>
        </w:tc>
        <w:tc>
          <w:tcPr>
            <w:tcW w:w="1655" w:type="dxa"/>
            <w:hideMark/>
          </w:tcPr>
          <w:p w:rsidR="004F0EBA" w:rsidRPr="004F0EBA" w:rsidRDefault="004F0EBA" w:rsidP="004F0EBA">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 xml:space="preserve">Recommended Representation/ Architecture </w:t>
            </w:r>
          </w:p>
        </w:tc>
        <w:tc>
          <w:tcPr>
            <w:tcW w:w="0" w:type="auto"/>
            <w:hideMark/>
          </w:tcPr>
          <w:p w:rsidR="004F0EBA" w:rsidRPr="004F0EBA" w:rsidRDefault="004F0EBA" w:rsidP="004F0EBA">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Structural Scale</w:t>
            </w:r>
          </w:p>
        </w:tc>
        <w:tc>
          <w:tcPr>
            <w:tcW w:w="0" w:type="auto"/>
            <w:hideMark/>
          </w:tcPr>
          <w:p w:rsidR="004F0EBA" w:rsidRPr="004F0EBA" w:rsidRDefault="004F0EBA" w:rsidP="004F0EBA">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Ensemble Handling</w:t>
            </w:r>
          </w:p>
        </w:tc>
        <w:tc>
          <w:tcPr>
            <w:tcW w:w="0" w:type="auto"/>
            <w:hideMark/>
          </w:tcPr>
          <w:p w:rsidR="004F0EBA" w:rsidRPr="004F0EBA" w:rsidRDefault="004F0EBA" w:rsidP="004F0EBA">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Key Advantage</w:t>
            </w:r>
          </w:p>
        </w:tc>
      </w:tr>
      <w:tr w:rsidR="004F0EBA" w:rsidRPr="004F0EBA" w:rsidTr="004F0E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4F0EBA" w:rsidRPr="004F0EBA" w:rsidRDefault="004F0EBA" w:rsidP="004F0EBA">
            <w:pPr>
              <w:spacing w:line="276" w:lineRule="auto"/>
              <w:rPr>
                <w:rFonts w:eastAsia="Times New Roman" w:cstheme="minorHAnsi"/>
                <w:sz w:val="20"/>
                <w:szCs w:val="20"/>
              </w:rPr>
            </w:pPr>
            <w:r w:rsidRPr="004F0EBA">
              <w:rPr>
                <w:rFonts w:eastAsia="Times New Roman" w:cstheme="minorHAnsi"/>
                <w:sz w:val="20"/>
                <w:szCs w:val="20"/>
              </w:rPr>
              <w:t>Rapid Property Screening</w:t>
            </w:r>
          </w:p>
        </w:tc>
        <w:tc>
          <w:tcPr>
            <w:tcW w:w="1226" w:type="dxa"/>
            <w:hideMark/>
          </w:tcPr>
          <w:p w:rsidR="004F0EBA" w:rsidRPr="004F0EBA" w:rsidRDefault="004F0EBA" w:rsidP="004F0EB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4F0EBA">
              <w:rPr>
                <w:rFonts w:eastAsia="Times New Roman" w:cstheme="minorHAnsi"/>
                <w:b/>
                <w:bCs/>
                <w:sz w:val="20"/>
                <w:szCs w:val="20"/>
              </w:rPr>
              <w:t>Scarce</w:t>
            </w:r>
          </w:p>
        </w:tc>
        <w:tc>
          <w:tcPr>
            <w:tcW w:w="1655" w:type="dxa"/>
            <w:hideMark/>
          </w:tcPr>
          <w:p w:rsidR="004F0EBA" w:rsidRPr="004F0EBA" w:rsidRDefault="004F0EBA" w:rsidP="004F0EB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 xml:space="preserve">Group Contribution,  Fingerprints / </w:t>
            </w:r>
            <w:r w:rsidRPr="004F0EBA">
              <w:rPr>
                <w:rFonts w:eastAsia="Times New Roman" w:cstheme="minorHAnsi"/>
                <w:b/>
                <w:bCs/>
                <w:sz w:val="20"/>
                <w:szCs w:val="20"/>
              </w:rPr>
              <w:t>MLPs</w:t>
            </w:r>
          </w:p>
        </w:tc>
        <w:tc>
          <w:tcPr>
            <w:tcW w:w="0" w:type="auto"/>
            <w:hideMark/>
          </w:tcPr>
          <w:p w:rsidR="004F0EBA" w:rsidRPr="004F0EBA" w:rsidRDefault="004F0EBA" w:rsidP="004F0EB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Bulk/Repeat Unit</w:t>
            </w:r>
          </w:p>
        </w:tc>
        <w:tc>
          <w:tcPr>
            <w:tcW w:w="0" w:type="auto"/>
            <w:hideMark/>
          </w:tcPr>
          <w:p w:rsidR="004F0EBA" w:rsidRPr="004F0EBA" w:rsidRDefault="004F0EBA" w:rsidP="004F0EB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 xml:space="preserve">Mean-field (reduced to averages, e.g. </w:t>
            </w:r>
          </w:p>
          <w:p w:rsidR="004F0EBA" w:rsidRPr="004F0EBA" w:rsidRDefault="004F0EBA" w:rsidP="004F0EB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4F0EBA">
              <w:rPr>
                <w:rFonts w:ascii="Cambria Math" w:eastAsia="Times New Roman" w:hAnsi="Cambria Math" w:cs="Cambria Math"/>
                <w:sz w:val="20"/>
                <w:szCs w:val="20"/>
              </w:rPr>
              <w:t>𝑀𝑤</w:t>
            </w:r>
            <w:r w:rsidRPr="004F0EBA">
              <w:rPr>
                <w:rFonts w:eastAsia="Times New Roman" w:cstheme="minorHAnsi"/>
                <w:sz w:val="20"/>
                <w:szCs w:val="20"/>
              </w:rPr>
              <w:t>)</w:t>
            </w:r>
          </w:p>
        </w:tc>
        <w:tc>
          <w:tcPr>
            <w:tcW w:w="0" w:type="auto"/>
            <w:hideMark/>
          </w:tcPr>
          <w:p w:rsidR="004F0EBA" w:rsidRPr="004F0EBA" w:rsidRDefault="004F0EBA" w:rsidP="004F0EB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High interpretability; utilizes additive physical rules.</w:t>
            </w:r>
          </w:p>
        </w:tc>
      </w:tr>
      <w:tr w:rsidR="004F0EBA" w:rsidRPr="004F0EBA" w:rsidTr="004F0EBA">
        <w:tc>
          <w:tcPr>
            <w:cnfStyle w:val="001000000000" w:firstRow="0" w:lastRow="0" w:firstColumn="1" w:lastColumn="0" w:oddVBand="0" w:evenVBand="0" w:oddHBand="0" w:evenHBand="0" w:firstRowFirstColumn="0" w:firstRowLastColumn="0" w:lastRowFirstColumn="0" w:lastRowLastColumn="0"/>
            <w:tcW w:w="0" w:type="auto"/>
            <w:hideMark/>
          </w:tcPr>
          <w:p w:rsidR="004F0EBA" w:rsidRPr="004F0EBA" w:rsidRDefault="004F0EBA" w:rsidP="004F0EBA">
            <w:pPr>
              <w:spacing w:line="276" w:lineRule="auto"/>
              <w:rPr>
                <w:rFonts w:eastAsia="Times New Roman" w:cstheme="minorHAnsi"/>
                <w:sz w:val="20"/>
                <w:szCs w:val="20"/>
              </w:rPr>
            </w:pPr>
            <w:r w:rsidRPr="004F0EBA">
              <w:rPr>
                <w:rFonts w:eastAsia="Times New Roman" w:cstheme="minorHAnsi"/>
                <w:sz w:val="20"/>
                <w:szCs w:val="20"/>
              </w:rPr>
              <w:t>New Backbone Discovery</w:t>
            </w:r>
          </w:p>
        </w:tc>
        <w:tc>
          <w:tcPr>
            <w:tcW w:w="1226" w:type="dxa"/>
            <w:hideMark/>
          </w:tcPr>
          <w:p w:rsidR="004F0EBA" w:rsidRPr="004F0EBA" w:rsidRDefault="004F0EBA" w:rsidP="004F0EBA">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4F0EBA">
              <w:rPr>
                <w:rFonts w:eastAsia="Times New Roman" w:cstheme="minorHAnsi"/>
                <w:b/>
                <w:bCs/>
                <w:sz w:val="20"/>
                <w:szCs w:val="20"/>
              </w:rPr>
              <w:t>Moderate</w:t>
            </w:r>
          </w:p>
        </w:tc>
        <w:tc>
          <w:tcPr>
            <w:tcW w:w="1655" w:type="dxa"/>
            <w:hideMark/>
          </w:tcPr>
          <w:p w:rsidR="004F0EBA" w:rsidRPr="004F0EBA" w:rsidRDefault="004F0EBA" w:rsidP="004F0EBA">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 xml:space="preserve">Atomistic / </w:t>
            </w:r>
            <w:r w:rsidRPr="004F0EBA">
              <w:rPr>
                <w:rFonts w:eastAsia="Times New Roman" w:cstheme="minorHAnsi"/>
                <w:b/>
                <w:bCs/>
                <w:sz w:val="20"/>
                <w:szCs w:val="20"/>
              </w:rPr>
              <w:t>GNNs</w:t>
            </w:r>
          </w:p>
        </w:tc>
        <w:tc>
          <w:tcPr>
            <w:tcW w:w="0" w:type="auto"/>
            <w:hideMark/>
          </w:tcPr>
          <w:p w:rsidR="004F0EBA" w:rsidRPr="004F0EBA" w:rsidRDefault="004F0EBA" w:rsidP="004F0EBA">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Molecular</w:t>
            </w:r>
          </w:p>
        </w:tc>
        <w:tc>
          <w:tcPr>
            <w:tcW w:w="0" w:type="auto"/>
            <w:hideMark/>
          </w:tcPr>
          <w:p w:rsidR="004F0EBA" w:rsidRPr="004F0EBA" w:rsidRDefault="004F0EBA" w:rsidP="004F0EBA">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Deterministic (single chain)</w:t>
            </w:r>
          </w:p>
        </w:tc>
        <w:tc>
          <w:tcPr>
            <w:tcW w:w="0" w:type="auto"/>
            <w:hideMark/>
          </w:tcPr>
          <w:p w:rsidR="004F0EBA" w:rsidRPr="004F0EBA" w:rsidRDefault="004F0EBA" w:rsidP="004F0EBA">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 xml:space="preserve">Explicit structural reasoning; </w:t>
            </w:r>
            <w:r w:rsidRPr="004F0EBA">
              <w:rPr>
                <w:rFonts w:eastAsia="Times New Roman" w:cstheme="minorHAnsi"/>
                <w:sz w:val="20"/>
                <w:szCs w:val="20"/>
              </w:rPr>
              <w:lastRenderedPageBreak/>
              <w:t>captures local connectivity.</w:t>
            </w:r>
          </w:p>
        </w:tc>
      </w:tr>
      <w:tr w:rsidR="004F0EBA" w:rsidRPr="004F0EBA" w:rsidTr="004F0E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4F0EBA" w:rsidRPr="004F0EBA" w:rsidRDefault="004F0EBA" w:rsidP="004F0EBA">
            <w:pPr>
              <w:spacing w:line="276" w:lineRule="auto"/>
              <w:rPr>
                <w:rFonts w:eastAsia="Times New Roman" w:cstheme="minorHAnsi"/>
                <w:sz w:val="20"/>
                <w:szCs w:val="20"/>
              </w:rPr>
            </w:pPr>
            <w:r w:rsidRPr="004F0EBA">
              <w:rPr>
                <w:rFonts w:eastAsia="Times New Roman" w:cstheme="minorHAnsi"/>
                <w:sz w:val="20"/>
                <w:szCs w:val="20"/>
              </w:rPr>
              <w:lastRenderedPageBreak/>
              <w:t>Sequence Optimization</w:t>
            </w:r>
          </w:p>
        </w:tc>
        <w:tc>
          <w:tcPr>
            <w:tcW w:w="1226" w:type="dxa"/>
            <w:hideMark/>
          </w:tcPr>
          <w:p w:rsidR="004F0EBA" w:rsidRPr="004F0EBA" w:rsidRDefault="004F0EBA" w:rsidP="004F0EB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4F0EBA">
              <w:rPr>
                <w:rFonts w:eastAsia="Times New Roman" w:cstheme="minorHAnsi"/>
                <w:b/>
                <w:bCs/>
                <w:sz w:val="20"/>
                <w:szCs w:val="20"/>
              </w:rPr>
              <w:t>Abundant</w:t>
            </w:r>
          </w:p>
        </w:tc>
        <w:tc>
          <w:tcPr>
            <w:tcW w:w="1655" w:type="dxa"/>
            <w:hideMark/>
          </w:tcPr>
          <w:p w:rsidR="004F0EBA" w:rsidRPr="004F0EBA" w:rsidRDefault="004F0EBA" w:rsidP="004F0EB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 xml:space="preserve">BigSMILES / </w:t>
            </w:r>
            <w:r w:rsidRPr="004F0EBA">
              <w:rPr>
                <w:rFonts w:eastAsia="Times New Roman" w:cstheme="minorHAnsi"/>
                <w:b/>
                <w:bCs/>
                <w:sz w:val="20"/>
                <w:szCs w:val="20"/>
              </w:rPr>
              <w:t>Transformers</w:t>
            </w:r>
          </w:p>
        </w:tc>
        <w:tc>
          <w:tcPr>
            <w:tcW w:w="0" w:type="auto"/>
            <w:hideMark/>
          </w:tcPr>
          <w:p w:rsidR="004F0EBA" w:rsidRPr="004F0EBA" w:rsidRDefault="004F0EBA" w:rsidP="004F0EB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Chain</w:t>
            </w:r>
          </w:p>
        </w:tc>
        <w:tc>
          <w:tcPr>
            <w:tcW w:w="0" w:type="auto"/>
            <w:hideMark/>
          </w:tcPr>
          <w:p w:rsidR="004F0EBA" w:rsidRPr="004F0EBA" w:rsidRDefault="004F0EBA" w:rsidP="004F0EB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Stochastic (probabilistic sequences)</w:t>
            </w:r>
          </w:p>
        </w:tc>
        <w:tc>
          <w:tcPr>
            <w:tcW w:w="0" w:type="auto"/>
            <w:hideMark/>
          </w:tcPr>
          <w:p w:rsidR="004F0EBA" w:rsidRPr="004F0EBA" w:rsidRDefault="004F0EBA" w:rsidP="004F0EB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Global attention captures long-range correlations.</w:t>
            </w:r>
          </w:p>
        </w:tc>
      </w:tr>
      <w:tr w:rsidR="004F0EBA" w:rsidRPr="004F0EBA" w:rsidTr="004F0EBA">
        <w:tc>
          <w:tcPr>
            <w:cnfStyle w:val="001000000000" w:firstRow="0" w:lastRow="0" w:firstColumn="1" w:lastColumn="0" w:oddVBand="0" w:evenVBand="0" w:oddHBand="0" w:evenHBand="0" w:firstRowFirstColumn="0" w:firstRowLastColumn="0" w:lastRowFirstColumn="0" w:lastRowLastColumn="0"/>
            <w:tcW w:w="0" w:type="auto"/>
            <w:hideMark/>
          </w:tcPr>
          <w:p w:rsidR="004F0EBA" w:rsidRPr="004F0EBA" w:rsidRDefault="004F0EBA" w:rsidP="004F0EBA">
            <w:pPr>
              <w:spacing w:line="276" w:lineRule="auto"/>
              <w:rPr>
                <w:rFonts w:eastAsia="Times New Roman" w:cstheme="minorHAnsi"/>
                <w:sz w:val="20"/>
                <w:szCs w:val="20"/>
              </w:rPr>
            </w:pPr>
            <w:r w:rsidRPr="004F0EBA">
              <w:rPr>
                <w:rFonts w:eastAsia="Times New Roman" w:cstheme="minorHAnsi"/>
                <w:sz w:val="20"/>
                <w:szCs w:val="20"/>
              </w:rPr>
              <w:t>Non-Linear Topology</w:t>
            </w:r>
          </w:p>
        </w:tc>
        <w:tc>
          <w:tcPr>
            <w:tcW w:w="1226" w:type="dxa"/>
            <w:hideMark/>
          </w:tcPr>
          <w:p w:rsidR="004F0EBA" w:rsidRPr="004F0EBA" w:rsidRDefault="004F0EBA" w:rsidP="004F0EBA">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4F0EBA">
              <w:rPr>
                <w:rFonts w:eastAsia="Times New Roman" w:cstheme="minorHAnsi"/>
                <w:b/>
                <w:bCs/>
                <w:sz w:val="20"/>
                <w:szCs w:val="20"/>
              </w:rPr>
              <w:t>Variable</w:t>
            </w:r>
          </w:p>
        </w:tc>
        <w:tc>
          <w:tcPr>
            <w:tcW w:w="1655" w:type="dxa"/>
            <w:hideMark/>
          </w:tcPr>
          <w:p w:rsidR="004F0EBA" w:rsidRPr="004F0EBA" w:rsidRDefault="004F0EBA" w:rsidP="004F0EBA">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 xml:space="preserve">Hypergraphs / Junction-Aware </w:t>
            </w:r>
            <w:r w:rsidRPr="004F0EBA">
              <w:rPr>
                <w:rFonts w:eastAsia="Times New Roman" w:cstheme="minorHAnsi"/>
                <w:b/>
                <w:bCs/>
                <w:sz w:val="20"/>
                <w:szCs w:val="20"/>
              </w:rPr>
              <w:t>GNNs</w:t>
            </w:r>
          </w:p>
        </w:tc>
        <w:tc>
          <w:tcPr>
            <w:tcW w:w="0" w:type="auto"/>
            <w:hideMark/>
          </w:tcPr>
          <w:p w:rsidR="004F0EBA" w:rsidRPr="004F0EBA" w:rsidRDefault="004F0EBA" w:rsidP="004F0EBA">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Macromolecular</w:t>
            </w:r>
          </w:p>
        </w:tc>
        <w:tc>
          <w:tcPr>
            <w:tcW w:w="0" w:type="auto"/>
            <w:hideMark/>
          </w:tcPr>
          <w:p w:rsidR="004F0EBA" w:rsidRPr="004F0EBA" w:rsidRDefault="004F0EBA" w:rsidP="004F0EBA">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Topology-aware (branching density)</w:t>
            </w:r>
          </w:p>
        </w:tc>
        <w:tc>
          <w:tcPr>
            <w:tcW w:w="0" w:type="auto"/>
            <w:hideMark/>
          </w:tcPr>
          <w:p w:rsidR="004F0EBA" w:rsidRPr="004F0EBA" w:rsidRDefault="004F0EBA" w:rsidP="004F0EBA">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Models branching multiplicity and cross-linking.</w:t>
            </w:r>
          </w:p>
        </w:tc>
      </w:tr>
      <w:tr w:rsidR="004F0EBA" w:rsidRPr="004F0EBA" w:rsidTr="004F0E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4F0EBA" w:rsidRPr="004F0EBA" w:rsidRDefault="004F0EBA" w:rsidP="004F0EBA">
            <w:pPr>
              <w:spacing w:line="276" w:lineRule="auto"/>
              <w:rPr>
                <w:rFonts w:eastAsia="Times New Roman" w:cstheme="minorHAnsi"/>
                <w:sz w:val="20"/>
                <w:szCs w:val="20"/>
              </w:rPr>
            </w:pPr>
            <w:r w:rsidRPr="004F0EBA">
              <w:rPr>
                <w:rFonts w:eastAsia="Times New Roman" w:cstheme="minorHAnsi"/>
                <w:sz w:val="20"/>
                <w:szCs w:val="20"/>
              </w:rPr>
              <w:t>Morphology/Phase Behavior</w:t>
            </w:r>
          </w:p>
        </w:tc>
        <w:tc>
          <w:tcPr>
            <w:tcW w:w="1226" w:type="dxa"/>
            <w:hideMark/>
          </w:tcPr>
          <w:p w:rsidR="004F0EBA" w:rsidRPr="004F0EBA" w:rsidRDefault="004F0EBA" w:rsidP="004F0EB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4F0EBA">
              <w:rPr>
                <w:rFonts w:eastAsia="Times New Roman" w:cstheme="minorHAnsi"/>
                <w:b/>
                <w:bCs/>
                <w:sz w:val="20"/>
                <w:szCs w:val="20"/>
              </w:rPr>
              <w:t>Spatial/Grid</w:t>
            </w:r>
          </w:p>
        </w:tc>
        <w:tc>
          <w:tcPr>
            <w:tcW w:w="1655" w:type="dxa"/>
            <w:hideMark/>
          </w:tcPr>
          <w:p w:rsidR="004F0EBA" w:rsidRPr="004F0EBA" w:rsidRDefault="004F0EBA" w:rsidP="004F0EB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 xml:space="preserve">Voxel-based / </w:t>
            </w:r>
            <w:r w:rsidRPr="004F0EBA">
              <w:rPr>
                <w:rFonts w:eastAsia="Times New Roman" w:cstheme="minorHAnsi"/>
                <w:b/>
                <w:bCs/>
                <w:sz w:val="20"/>
                <w:szCs w:val="20"/>
              </w:rPr>
              <w:t>CNNs</w:t>
            </w:r>
            <w:r w:rsidRPr="004F0EBA">
              <w:rPr>
                <w:rFonts w:eastAsia="Times New Roman" w:cstheme="minorHAnsi"/>
                <w:sz w:val="20"/>
                <w:szCs w:val="20"/>
              </w:rPr>
              <w:t xml:space="preserve"> and </w:t>
            </w:r>
            <w:r w:rsidRPr="004F0EBA">
              <w:rPr>
                <w:rFonts w:eastAsia="Times New Roman" w:cstheme="minorHAnsi"/>
                <w:b/>
                <w:bCs/>
                <w:sz w:val="20"/>
                <w:szCs w:val="20"/>
              </w:rPr>
              <w:t>ViTs</w:t>
            </w:r>
          </w:p>
        </w:tc>
        <w:tc>
          <w:tcPr>
            <w:tcW w:w="0" w:type="auto"/>
            <w:hideMark/>
          </w:tcPr>
          <w:p w:rsidR="004F0EBA" w:rsidRPr="004F0EBA" w:rsidRDefault="004F0EBA" w:rsidP="004F0EB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Meso/Micro</w:t>
            </w:r>
          </w:p>
        </w:tc>
        <w:tc>
          <w:tcPr>
            <w:tcW w:w="0" w:type="auto"/>
            <w:hideMark/>
          </w:tcPr>
          <w:p w:rsidR="004F0EBA" w:rsidRPr="004F0EBA" w:rsidRDefault="004F0EBA" w:rsidP="004F0EB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Spatial (domain heterogeneity)</w:t>
            </w:r>
          </w:p>
        </w:tc>
        <w:tc>
          <w:tcPr>
            <w:tcW w:w="0" w:type="auto"/>
            <w:hideMark/>
          </w:tcPr>
          <w:p w:rsidR="004F0EBA" w:rsidRPr="004F0EBA" w:rsidRDefault="004F0EBA" w:rsidP="004F0EB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Captures phase-separation patterns from SAXS/TEM.</w:t>
            </w:r>
          </w:p>
        </w:tc>
      </w:tr>
    </w:tbl>
    <w:p w:rsidR="004F0EBA" w:rsidRDefault="004F0EBA" w:rsidP="004F0EBA">
      <w:pPr>
        <w:spacing w:after="0" w:line="360" w:lineRule="auto"/>
        <w:jc w:val="both"/>
        <w:rPr>
          <w:rFonts w:cstheme="minorHAnsi"/>
          <w:sz w:val="20"/>
          <w:szCs w:val="20"/>
        </w:rPr>
      </w:pPr>
      <w:r w:rsidRPr="00DE4DC4">
        <w:rPr>
          <w:rFonts w:ascii="Times New Roman" w:eastAsia="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15649F7C" wp14:editId="50470F58">
                <wp:simplePos x="0" y="0"/>
                <wp:positionH relativeFrom="margin">
                  <wp:posOffset>38100</wp:posOffset>
                </wp:positionH>
                <wp:positionV relativeFrom="paragraph">
                  <wp:posOffset>66040</wp:posOffset>
                </wp:positionV>
                <wp:extent cx="5897367" cy="441789"/>
                <wp:effectExtent l="0" t="0" r="8255" b="0"/>
                <wp:wrapNone/>
                <wp:docPr id="54" name="Text Box 54"/>
                <wp:cNvGraphicFramePr/>
                <a:graphic xmlns:a="http://schemas.openxmlformats.org/drawingml/2006/main">
                  <a:graphicData uri="http://schemas.microsoft.com/office/word/2010/wordprocessingShape">
                    <wps:wsp>
                      <wps:cNvSpPr txBox="1"/>
                      <wps:spPr>
                        <a:xfrm>
                          <a:off x="0" y="0"/>
                          <a:ext cx="5897367" cy="441789"/>
                        </a:xfrm>
                        <a:prstGeom prst="rect">
                          <a:avLst/>
                        </a:prstGeom>
                        <a:solidFill>
                          <a:schemeClr val="lt1"/>
                        </a:solidFill>
                        <a:ln w="6350">
                          <a:noFill/>
                        </a:ln>
                      </wps:spPr>
                      <wps:txbx>
                        <w:txbxContent>
                          <w:p w:rsidR="005562ED" w:rsidRPr="004F0EBA" w:rsidRDefault="005562ED" w:rsidP="004F0EBA">
                            <w:pPr>
                              <w:spacing w:after="0"/>
                              <w:rPr>
                                <w:rFonts w:eastAsia="Times New Roman" w:cstheme="minorHAnsi"/>
                                <w:sz w:val="18"/>
                                <w:szCs w:val="18"/>
                              </w:rPr>
                            </w:pPr>
                            <w:r w:rsidRPr="004F0EBA">
                              <w:rPr>
                                <w:rFonts w:eastAsia="Times New Roman" w:cstheme="minorHAnsi"/>
                                <w:b/>
                                <w:bCs/>
                                <w:sz w:val="18"/>
                                <w:szCs w:val="18"/>
                              </w:rPr>
                              <w:t>Table 3</w:t>
                            </w:r>
                            <w:r w:rsidRPr="004F0EBA">
                              <w:rPr>
                                <w:rFonts w:eastAsia="Times New Roman" w:cstheme="minorHAnsi"/>
                                <w:sz w:val="18"/>
                                <w:szCs w:val="18"/>
                              </w:rPr>
                              <w:t>: Practitioner’s Decision Matrix: A Heuristic Framework for Polymer Representation Selection. A comparative mapping of research objectives, structural scales, and data regimes to optimal informatics abstractions.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49F7C" id="Text Box 54" o:spid="_x0000_s1030" type="#_x0000_t202" style="position:absolute;left:0;text-align:left;margin-left:3pt;margin-top:5.2pt;width:464.35pt;height:34.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At4RgIAAIIEAAAOAAAAZHJzL2Uyb0RvYy54bWysVE2P2jAQvVfqf7B8LwE2fEWEFWVFVWm1&#10;uxJUezaOQyw5Htc2JPTXd+wAy257qnox45nJ88x7M8zv21qRo7BOgs7poNenRGgOhdT7nP7Yrr9M&#10;KXGe6YIp0CKnJ+Ho/eLzp3ljMjGEClQhLEEQ7bLG5LTy3mRJ4nglauZ6YITGYAm2Zh6vdp8UljWI&#10;Xqtk2O+PkwZsYSxw4Rx6H7ogXUT8shTcP5elE56onGJtPp42nrtwJos5y/aWmUrycxnsH6qomdT4&#10;6BXqgXlGDlb+AVVLbsFB6Xsc6gTKUnIRe8BuBv0P3WwqZkTsBclx5kqT+3+w/On4YokscjpKKdGs&#10;Ro22ovXkK7QEXchPY1yGaRuDib5FP+p88Tt0hrbb0tbhFxsiGEemT1d2AxpH52g6m9yNJ5RwjKXp&#10;YDKdBZjk7Wtjnf8moCbByKlF9SKp7PjofJd6SQmPOVCyWEul4iVMjFgpS44MtVY+1ojg77KUJk1O&#10;x3ejfgTWED7vkJXGWkKvXU/B8u2ujdxcedhBcUIaLHSD5AxfS6z1kTn/wixODnaO2+Cf8SgV4Ftw&#10;tiipwP76mz/ko6AYpaTBScyp+3lgVlCivmuUejZI0zC68ZKOJkO82NvI7jaiD/UKkIAB7p3h0Qz5&#10;Xl3M0kL9ikuzDK9iiGmOb+fUX8yV7/YDl46L5TIm4bAa5h/1xvAAHQgPSmzbV2bNWS6PQj/BZWZZ&#10;9kG1Ljd8qWF58FDKKGnguWP1TD8OehyK81KGTbq9x6y3v47FbwAAAP//AwBQSwMEFAAGAAgAAAAh&#10;AD6e+fTfAAAABwEAAA8AAABkcnMvZG93bnJldi54bWxMj8FOwzAQRO9I/IO1SFxQa0NKW0KcCiGg&#10;EjeaAuLmxksSEa+j2E3C37Oc4Lgzo5m32WZyrRiwD40nDZdzBQKp9LahSsO+eJytQYRoyJrWE2r4&#10;xgCb/PQkM6n1I73gsIuV4BIKqdFQx9ilUoayRmfC3HdI7H363pnIZ19J25uRy10rr5RaSmca4oXa&#10;dHhfY/m1OzoNHxfV+3OYnl7H5DrpHrZDsXqzhdbnZ9PdLYiIU/wLwy8+o0POTAd/JBtEq2HJn0SW&#10;1QIE2zfJYgXioGGtFMg8k//58x8AAAD//wMAUEsBAi0AFAAGAAgAAAAhALaDOJL+AAAA4QEAABMA&#10;AAAAAAAAAAAAAAAAAAAAAFtDb250ZW50X1R5cGVzXS54bWxQSwECLQAUAAYACAAAACEAOP0h/9YA&#10;AACUAQAACwAAAAAAAAAAAAAAAAAvAQAAX3JlbHMvLnJlbHNQSwECLQAUAAYACAAAACEAWmALeEYC&#10;AACCBAAADgAAAAAAAAAAAAAAAAAuAgAAZHJzL2Uyb0RvYy54bWxQSwECLQAUAAYACAAAACEAPp75&#10;9N8AAAAHAQAADwAAAAAAAAAAAAAAAACgBAAAZHJzL2Rvd25yZXYueG1sUEsFBgAAAAAEAAQA8wAA&#10;AKwFAAAAAA==&#10;" fillcolor="white [3201]" stroked="f" strokeweight=".5pt">
                <v:textbox>
                  <w:txbxContent>
                    <w:p w:rsidR="005562ED" w:rsidRPr="004F0EBA" w:rsidRDefault="005562ED" w:rsidP="004F0EBA">
                      <w:pPr>
                        <w:spacing w:after="0"/>
                        <w:rPr>
                          <w:rFonts w:eastAsia="Times New Roman" w:cstheme="minorHAnsi"/>
                          <w:sz w:val="18"/>
                          <w:szCs w:val="18"/>
                        </w:rPr>
                      </w:pPr>
                      <w:r w:rsidRPr="004F0EBA">
                        <w:rPr>
                          <w:rFonts w:eastAsia="Times New Roman" w:cstheme="minorHAnsi"/>
                          <w:b/>
                          <w:bCs/>
                          <w:sz w:val="18"/>
                          <w:szCs w:val="18"/>
                        </w:rPr>
                        <w:t>Table 3</w:t>
                      </w:r>
                      <w:r w:rsidRPr="004F0EBA">
                        <w:rPr>
                          <w:rFonts w:eastAsia="Times New Roman" w:cstheme="minorHAnsi"/>
                          <w:sz w:val="18"/>
                          <w:szCs w:val="18"/>
                        </w:rPr>
                        <w:t>: Practitioner’s Decision Matrix: A Heuristic Framework for Polymer Representation Selection. A comparative mapping of research objectives, structural scales, and data regimes to optimal informatics abstractions.</w:t>
                      </w:r>
                    </w:p>
                  </w:txbxContent>
                </v:textbox>
                <w10:wrap anchorx="margin"/>
              </v:shape>
            </w:pict>
          </mc:Fallback>
        </mc:AlternateContent>
      </w:r>
    </w:p>
    <w:p w:rsidR="004F0EBA" w:rsidRPr="006C7800" w:rsidRDefault="004F0EBA" w:rsidP="004F0EBA">
      <w:pPr>
        <w:spacing w:after="0" w:line="360" w:lineRule="auto"/>
        <w:jc w:val="both"/>
        <w:rPr>
          <w:rFonts w:cstheme="minorHAnsi"/>
          <w:sz w:val="20"/>
          <w:szCs w:val="20"/>
        </w:rPr>
      </w:pPr>
    </w:p>
    <w:p w:rsidR="00B85B57" w:rsidRPr="00B85B57" w:rsidRDefault="00897132" w:rsidP="00B85B57">
      <w:pPr>
        <w:spacing w:before="240" w:after="0" w:line="360" w:lineRule="auto"/>
        <w:jc w:val="both"/>
        <w:rPr>
          <w:rFonts w:cstheme="minorHAnsi"/>
          <w:b/>
          <w:bCs/>
        </w:rPr>
      </w:pPr>
      <w:r w:rsidRPr="00B85B57">
        <w:rPr>
          <w:rFonts w:cstheme="minorHAnsi"/>
          <w:b/>
          <w:bCs/>
        </w:rPr>
        <w:t xml:space="preserve">2.7.1 Design Criteria and Persistent Bottlenecks </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To be effective, a representation must be transferable, sample-efficient, and decision-aware. However, current paradigms face structural bottlenecks:</w:t>
      </w:r>
    </w:p>
    <w:p w:rsidR="00897132" w:rsidRPr="006C7800" w:rsidRDefault="00897132" w:rsidP="004D0E2F">
      <w:pPr>
        <w:numPr>
          <w:ilvl w:val="0"/>
          <w:numId w:val="10"/>
        </w:numPr>
        <w:spacing w:after="0" w:line="360" w:lineRule="auto"/>
        <w:jc w:val="both"/>
        <w:rPr>
          <w:rFonts w:cstheme="minorHAnsi"/>
          <w:sz w:val="20"/>
          <w:szCs w:val="20"/>
        </w:rPr>
      </w:pPr>
      <w:r w:rsidRPr="006C7800">
        <w:rPr>
          <w:rFonts w:cstheme="minorHAnsi"/>
          <w:sz w:val="20"/>
          <w:szCs w:val="20"/>
        </w:rPr>
        <w:t>Standardization Gap: Lack of unified schemas for complex architectures like vitrimers or networks.</w:t>
      </w:r>
    </w:p>
    <w:p w:rsidR="00897132" w:rsidRPr="006C7800" w:rsidRDefault="00897132" w:rsidP="004D0E2F">
      <w:pPr>
        <w:numPr>
          <w:ilvl w:val="0"/>
          <w:numId w:val="10"/>
        </w:numPr>
        <w:spacing w:after="0" w:line="360" w:lineRule="auto"/>
        <w:jc w:val="both"/>
        <w:rPr>
          <w:rFonts w:cstheme="minorHAnsi"/>
          <w:sz w:val="20"/>
          <w:szCs w:val="20"/>
        </w:rPr>
      </w:pPr>
      <w:r w:rsidRPr="006C7800">
        <w:rPr>
          <w:rFonts w:cstheme="minorHAnsi"/>
          <w:sz w:val="20"/>
          <w:szCs w:val="20"/>
        </w:rPr>
        <w:t>Ensemble Collapse: Reduction of molecular weight distributions (Ð) and sequence stochasticity to simplistic low-order moments.</w:t>
      </w:r>
    </w:p>
    <w:p w:rsidR="00897132" w:rsidRPr="006C7800" w:rsidRDefault="00897132" w:rsidP="004D0E2F">
      <w:pPr>
        <w:numPr>
          <w:ilvl w:val="0"/>
          <w:numId w:val="10"/>
        </w:numPr>
        <w:spacing w:after="0" w:line="360" w:lineRule="auto"/>
        <w:jc w:val="both"/>
        <w:rPr>
          <w:rFonts w:cstheme="minorHAnsi"/>
          <w:sz w:val="20"/>
          <w:szCs w:val="20"/>
        </w:rPr>
      </w:pPr>
      <w:r w:rsidRPr="006C7800">
        <w:rPr>
          <w:rFonts w:cstheme="minorHAnsi"/>
          <w:sz w:val="20"/>
          <w:szCs w:val="20"/>
        </w:rPr>
        <w:t>Processing as an Afterthought: Manufacturing history and kinetic pathways are rarely encoded as first-class variables.</w:t>
      </w:r>
    </w:p>
    <w:p w:rsidR="00897132" w:rsidRPr="00B85B57" w:rsidRDefault="00897132" w:rsidP="00B85B57">
      <w:pPr>
        <w:numPr>
          <w:ilvl w:val="0"/>
          <w:numId w:val="10"/>
        </w:numPr>
        <w:spacing w:after="0" w:line="360" w:lineRule="auto"/>
        <w:jc w:val="both"/>
        <w:rPr>
          <w:rFonts w:cstheme="minorHAnsi"/>
          <w:sz w:val="20"/>
          <w:szCs w:val="20"/>
        </w:rPr>
      </w:pPr>
      <w:r w:rsidRPr="00B85B57">
        <w:rPr>
          <w:rFonts w:cstheme="minorHAnsi"/>
          <w:sz w:val="20"/>
          <w:szCs w:val="20"/>
        </w:rPr>
        <w:t>Scaling–Fidelity Trade-off: High-fidelity 3D encodings remain computationally prohibitive (</w:t>
      </w:r>
      <w:r w:rsidRPr="00B85B57">
        <w:rPr>
          <w:rFonts w:cstheme="minorHAnsi"/>
          <w:i/>
          <w:iCs/>
          <w:sz w:val="20"/>
          <w:szCs w:val="20"/>
        </w:rPr>
        <w:t>O</w:t>
      </w:r>
      <w:r w:rsidRPr="00B85B57">
        <w:rPr>
          <w:rFonts w:cstheme="minorHAnsi"/>
          <w:sz w:val="20"/>
          <w:szCs w:val="20"/>
        </w:rPr>
        <w:t>(</w:t>
      </w:r>
      <w:r w:rsidRPr="00B85B57">
        <w:rPr>
          <w:rFonts w:cstheme="minorHAnsi"/>
          <w:i/>
          <w:iCs/>
          <w:sz w:val="20"/>
          <w:szCs w:val="20"/>
        </w:rPr>
        <w:t>N</w:t>
      </w:r>
      <w:r w:rsidRPr="00B85B57">
        <w:rPr>
          <w:rFonts w:cstheme="minorHAnsi"/>
          <w:sz w:val="20"/>
          <w:szCs w:val="20"/>
        </w:rPr>
        <w:t>2)) or (</w:t>
      </w:r>
      <w:r w:rsidRPr="00B85B57">
        <w:rPr>
          <w:rFonts w:cstheme="minorHAnsi"/>
          <w:i/>
          <w:iCs/>
          <w:sz w:val="20"/>
          <w:szCs w:val="20"/>
        </w:rPr>
        <w:t>O</w:t>
      </w:r>
      <w:r w:rsidRPr="00B85B57">
        <w:rPr>
          <w:rFonts w:cstheme="minorHAnsi"/>
          <w:sz w:val="20"/>
          <w:szCs w:val="20"/>
        </w:rPr>
        <w:t>(</w:t>
      </w:r>
      <w:r w:rsidRPr="00B85B57">
        <w:rPr>
          <w:rFonts w:cstheme="minorHAnsi"/>
          <w:i/>
          <w:iCs/>
          <w:sz w:val="20"/>
          <w:szCs w:val="20"/>
        </w:rPr>
        <w:t>N</w:t>
      </w:r>
      <w:r w:rsidRPr="00B85B57">
        <w:rPr>
          <w:rFonts w:cstheme="minorHAnsi"/>
          <w:sz w:val="20"/>
          <w:szCs w:val="20"/>
        </w:rPr>
        <w:t>3)) while efficient alternatives discard critical structural detail.</w:t>
      </w:r>
    </w:p>
    <w:p w:rsidR="00B85B57" w:rsidRPr="00B85B57" w:rsidRDefault="00897132" w:rsidP="00B85B57">
      <w:pPr>
        <w:spacing w:before="240" w:after="0" w:line="360" w:lineRule="auto"/>
        <w:jc w:val="both"/>
        <w:rPr>
          <w:rFonts w:cstheme="minorHAnsi"/>
          <w:b/>
          <w:bCs/>
        </w:rPr>
      </w:pPr>
      <w:r w:rsidRPr="00B85B57">
        <w:rPr>
          <w:rFonts w:cstheme="minorHAnsi"/>
          <w:b/>
          <w:bCs/>
        </w:rPr>
        <w:t xml:space="preserve">2.7.2 Future Outlook: Toward Foundational Discovery Systems </w:t>
      </w:r>
    </w:p>
    <w:p w:rsidR="00897132" w:rsidRPr="006C7800" w:rsidRDefault="00897132" w:rsidP="004D0E2F">
      <w:pPr>
        <w:spacing w:after="0" w:line="360" w:lineRule="auto"/>
        <w:jc w:val="both"/>
        <w:rPr>
          <w:rFonts w:cstheme="minorHAnsi"/>
          <w:sz w:val="20"/>
          <w:szCs w:val="20"/>
        </w:rPr>
      </w:pPr>
      <w:r w:rsidRPr="006C7800">
        <w:rPr>
          <w:rFonts w:cstheme="minorHAnsi"/>
          <w:sz w:val="20"/>
          <w:szCs w:val="20"/>
        </w:rPr>
        <w:t>The field moves toward Foundational Polymer Models unifying disparate representations into autonomous discovery loops. Bridging the remaining 'Simulation-to-Reality' gap requires addressing three key research frontiers:</w:t>
      </w:r>
    </w:p>
    <w:p w:rsidR="00897132" w:rsidRPr="006C7800" w:rsidRDefault="00897132" w:rsidP="004D0E2F">
      <w:pPr>
        <w:numPr>
          <w:ilvl w:val="0"/>
          <w:numId w:val="11"/>
        </w:numPr>
        <w:spacing w:after="0" w:line="360" w:lineRule="auto"/>
        <w:jc w:val="both"/>
        <w:rPr>
          <w:rFonts w:cstheme="minorHAnsi"/>
          <w:sz w:val="20"/>
          <w:szCs w:val="20"/>
        </w:rPr>
      </w:pPr>
      <w:r w:rsidRPr="006C7800">
        <w:rPr>
          <w:rFonts w:cstheme="minorHAnsi"/>
          <w:sz w:val="20"/>
          <w:szCs w:val="20"/>
        </w:rPr>
        <w:t>Differentiable Multimodal Pre-training: Leveraging unlabeled microscopy, SAXS profiles, and scattering data to build general-purpose morphology encoders, aligning asynchronous or partially missing modalities.</w:t>
      </w:r>
    </w:p>
    <w:p w:rsidR="00897132" w:rsidRPr="006C7800" w:rsidRDefault="00897132" w:rsidP="004D0E2F">
      <w:pPr>
        <w:numPr>
          <w:ilvl w:val="0"/>
          <w:numId w:val="11"/>
        </w:numPr>
        <w:spacing w:after="0" w:line="360" w:lineRule="auto"/>
        <w:jc w:val="both"/>
        <w:rPr>
          <w:rFonts w:cstheme="minorHAnsi"/>
          <w:sz w:val="20"/>
          <w:szCs w:val="20"/>
        </w:rPr>
      </w:pPr>
      <w:r w:rsidRPr="006C7800">
        <w:rPr>
          <w:rFonts w:cstheme="minorHAnsi"/>
          <w:sz w:val="20"/>
          <w:szCs w:val="20"/>
        </w:rPr>
        <w:t>Causal Representation Learning: Moving beyond correlation to disentangle how chemistry, processing history, and morphology interact to drive final performance.</w:t>
      </w:r>
    </w:p>
    <w:p w:rsidR="00897132" w:rsidRPr="006C7800" w:rsidRDefault="00897132" w:rsidP="004D0E2F">
      <w:pPr>
        <w:numPr>
          <w:ilvl w:val="0"/>
          <w:numId w:val="11"/>
        </w:numPr>
        <w:spacing w:after="0" w:line="360" w:lineRule="auto"/>
        <w:jc w:val="both"/>
        <w:rPr>
          <w:rFonts w:cstheme="minorHAnsi"/>
          <w:sz w:val="20"/>
          <w:szCs w:val="20"/>
        </w:rPr>
      </w:pPr>
      <w:r w:rsidRPr="006C7800">
        <w:rPr>
          <w:rFonts w:cstheme="minorHAnsi"/>
          <w:sz w:val="20"/>
          <w:szCs w:val="20"/>
        </w:rPr>
        <w:t>Neuro-Symbolic &amp; Uncertainty-Aware Design: Embedding differentiable physics (e.g., reptation or phase separation kinetics) and calibrated uncertainty natively into the model. This ensures generated candidates respect chemical rules and thermodynamic constraints while providing a 'trustworthy' path for robotic synthesis.</w:t>
      </w:r>
    </w:p>
    <w:p w:rsidR="00B85B57" w:rsidRPr="00B85B57" w:rsidRDefault="00897132" w:rsidP="00B85B57">
      <w:pPr>
        <w:spacing w:before="240" w:after="0" w:line="360" w:lineRule="auto"/>
        <w:jc w:val="both"/>
        <w:rPr>
          <w:rFonts w:cstheme="minorHAnsi"/>
          <w:b/>
          <w:bCs/>
        </w:rPr>
      </w:pPr>
      <w:r w:rsidRPr="00B85B57">
        <w:rPr>
          <w:rFonts w:cstheme="minorHAnsi"/>
          <w:b/>
          <w:bCs/>
        </w:rPr>
        <w:lastRenderedPageBreak/>
        <w:t xml:space="preserve">2.7.3 A Comparative Synthesis of Representation Paradigms </w:t>
      </w:r>
    </w:p>
    <w:p w:rsidR="004F0EBA" w:rsidRDefault="00897132" w:rsidP="004F0EBA">
      <w:pPr>
        <w:spacing w:after="0" w:line="360" w:lineRule="auto"/>
        <w:jc w:val="both"/>
        <w:rPr>
          <w:rFonts w:cstheme="minorHAnsi"/>
          <w:sz w:val="20"/>
          <w:szCs w:val="20"/>
        </w:rPr>
      </w:pPr>
      <w:r w:rsidRPr="006C7800">
        <w:rPr>
          <w:rFonts w:cstheme="minorHAnsi"/>
          <w:sz w:val="20"/>
          <w:szCs w:val="20"/>
        </w:rPr>
        <w:t xml:space="preserve">A comparative synthesis of major representation paradigms clarifies how inductive biases, strengths, and failure modes shape downstream model performance. Each abstraction captures a different slice of polymer physics, ranging from substructural motifs to nonlinear topology and mesoscale morphology; no single representation provides complete coverage across tasks, data regimes, and structural complexity. Table 4 distills these trade-offs into a unified framework, highlighting where each paradigm excels, breaks down, and which application contexts it suits. This synthesis provides a conceptual bridge between design criteria and limitations discussed above and the model architectures examined in the next section. </w:t>
      </w:r>
    </w:p>
    <w:tbl>
      <w:tblPr>
        <w:tblStyle w:val="PlainTable1"/>
        <w:tblW w:w="0" w:type="auto"/>
        <w:tblLook w:val="04A0" w:firstRow="1" w:lastRow="0" w:firstColumn="1" w:lastColumn="0" w:noHBand="0" w:noVBand="1"/>
      </w:tblPr>
      <w:tblGrid>
        <w:gridCol w:w="1594"/>
        <w:gridCol w:w="1489"/>
        <w:gridCol w:w="1629"/>
        <w:gridCol w:w="2718"/>
        <w:gridCol w:w="1920"/>
      </w:tblGrid>
      <w:tr w:rsidR="004F0EBA" w:rsidRPr="004F0EBA" w:rsidTr="00F02B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4" w:type="dxa"/>
            <w:hideMark/>
          </w:tcPr>
          <w:p w:rsidR="004F0EBA" w:rsidRPr="004F0EBA" w:rsidRDefault="004F0EBA" w:rsidP="004F0EBA">
            <w:pPr>
              <w:spacing w:line="276" w:lineRule="auto"/>
              <w:jc w:val="center"/>
              <w:rPr>
                <w:rFonts w:eastAsia="Times New Roman" w:cstheme="minorHAnsi"/>
                <w:sz w:val="20"/>
                <w:szCs w:val="20"/>
              </w:rPr>
            </w:pPr>
            <w:r w:rsidRPr="004F0EBA">
              <w:rPr>
                <w:rFonts w:eastAsia="Times New Roman" w:cstheme="minorHAnsi"/>
                <w:sz w:val="20"/>
                <w:szCs w:val="20"/>
              </w:rPr>
              <w:t>Representation</w:t>
            </w:r>
          </w:p>
        </w:tc>
        <w:tc>
          <w:tcPr>
            <w:tcW w:w="1483" w:type="dxa"/>
            <w:hideMark/>
          </w:tcPr>
          <w:p w:rsidR="004F0EBA" w:rsidRPr="004F0EBA" w:rsidRDefault="004F0EBA" w:rsidP="004F0EBA">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Core Inductive Bias / Encoded Structure</w:t>
            </w:r>
          </w:p>
        </w:tc>
        <w:tc>
          <w:tcPr>
            <w:tcW w:w="1598" w:type="dxa"/>
            <w:hideMark/>
          </w:tcPr>
          <w:p w:rsidR="004F0EBA" w:rsidRPr="004F0EBA" w:rsidRDefault="004F0EBA" w:rsidP="004F0EBA">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Primary Strength</w:t>
            </w:r>
          </w:p>
        </w:tc>
        <w:tc>
          <w:tcPr>
            <w:tcW w:w="2718" w:type="dxa"/>
            <w:hideMark/>
          </w:tcPr>
          <w:p w:rsidR="004F0EBA" w:rsidRPr="004F0EBA" w:rsidRDefault="004F0EBA" w:rsidP="004F0EBA">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Critical Limitation / Failure Mode</w:t>
            </w:r>
          </w:p>
        </w:tc>
        <w:tc>
          <w:tcPr>
            <w:tcW w:w="0" w:type="auto"/>
            <w:hideMark/>
          </w:tcPr>
          <w:p w:rsidR="004F0EBA" w:rsidRPr="004F0EBA" w:rsidRDefault="004F0EBA" w:rsidP="004F0EBA">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Ideal Application Context</w:t>
            </w:r>
          </w:p>
        </w:tc>
      </w:tr>
      <w:tr w:rsidR="004F0EBA" w:rsidRPr="004F0EBA" w:rsidTr="00F02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4" w:type="dxa"/>
            <w:hideMark/>
          </w:tcPr>
          <w:p w:rsidR="004F0EBA" w:rsidRPr="004F0EBA" w:rsidRDefault="004F0EBA" w:rsidP="004F0EBA">
            <w:pPr>
              <w:spacing w:line="276" w:lineRule="auto"/>
              <w:rPr>
                <w:rFonts w:eastAsia="Times New Roman" w:cstheme="minorHAnsi"/>
                <w:sz w:val="20"/>
                <w:szCs w:val="20"/>
              </w:rPr>
            </w:pPr>
            <w:r w:rsidRPr="004F0EBA">
              <w:rPr>
                <w:rFonts w:eastAsia="Times New Roman" w:cstheme="minorHAnsi"/>
                <w:sz w:val="20"/>
                <w:szCs w:val="20"/>
              </w:rPr>
              <w:t>Fingerprints / Descriptors</w:t>
            </w:r>
          </w:p>
        </w:tc>
        <w:tc>
          <w:tcPr>
            <w:tcW w:w="1483" w:type="dxa"/>
            <w:hideMark/>
          </w:tcPr>
          <w:p w:rsidR="004F0EBA" w:rsidRPr="004F0EBA" w:rsidRDefault="004F0EBA" w:rsidP="004F0EB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Substructure frequency; expert</w:t>
            </w:r>
            <w:r w:rsidRPr="004F0EBA">
              <w:rPr>
                <w:rFonts w:eastAsia="Times New Roman" w:cstheme="minorHAnsi"/>
                <w:sz w:val="20"/>
                <w:szCs w:val="20"/>
              </w:rPr>
              <w:noBreakHyphen/>
              <w:t>defined features</w:t>
            </w:r>
          </w:p>
        </w:tc>
        <w:tc>
          <w:tcPr>
            <w:tcW w:w="1598" w:type="dxa"/>
            <w:hideMark/>
          </w:tcPr>
          <w:p w:rsidR="004F0EBA" w:rsidRPr="004F0EBA" w:rsidRDefault="004F0EBA" w:rsidP="004F0EB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Fast, lightweight, and highly interpretable</w:t>
            </w:r>
          </w:p>
        </w:tc>
        <w:tc>
          <w:tcPr>
            <w:tcW w:w="2718" w:type="dxa"/>
            <w:hideMark/>
          </w:tcPr>
          <w:p w:rsidR="004F0EBA" w:rsidRPr="004F0EBA" w:rsidRDefault="004F0EBA" w:rsidP="004F0EB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4F0EBA">
              <w:rPr>
                <w:rFonts w:eastAsia="Times New Roman" w:cstheme="minorHAnsi"/>
                <w:b/>
                <w:bCs/>
                <w:sz w:val="20"/>
                <w:szCs w:val="20"/>
              </w:rPr>
              <w:t>Architecture Collapse</w:t>
            </w:r>
            <w:r w:rsidRPr="004F0EBA">
              <w:rPr>
                <w:rFonts w:eastAsia="Times New Roman" w:cstheme="minorHAnsi"/>
                <w:sz w:val="20"/>
                <w:szCs w:val="20"/>
              </w:rPr>
              <w:t>: loses topology; cannot distinguish complex isomers or architectures</w:t>
            </w:r>
          </w:p>
        </w:tc>
        <w:tc>
          <w:tcPr>
            <w:tcW w:w="0" w:type="auto"/>
            <w:hideMark/>
          </w:tcPr>
          <w:p w:rsidR="004F0EBA" w:rsidRPr="004F0EBA" w:rsidRDefault="004F0EBA" w:rsidP="004F0EB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Rapid screening, baseline models, low</w:t>
            </w:r>
            <w:r w:rsidRPr="004F0EBA">
              <w:rPr>
                <w:rFonts w:eastAsia="Times New Roman" w:cstheme="minorHAnsi"/>
                <w:sz w:val="20"/>
                <w:szCs w:val="20"/>
              </w:rPr>
              <w:noBreakHyphen/>
              <w:t>data regimes with relatively simple polymers</w:t>
            </w:r>
          </w:p>
        </w:tc>
      </w:tr>
      <w:tr w:rsidR="004F0EBA" w:rsidRPr="004F0EBA" w:rsidTr="00F02B89">
        <w:tc>
          <w:tcPr>
            <w:cnfStyle w:val="001000000000" w:firstRow="0" w:lastRow="0" w:firstColumn="1" w:lastColumn="0" w:oddVBand="0" w:evenVBand="0" w:oddHBand="0" w:evenHBand="0" w:firstRowFirstColumn="0" w:firstRowLastColumn="0" w:lastRowFirstColumn="0" w:lastRowLastColumn="0"/>
            <w:tcW w:w="1594" w:type="dxa"/>
            <w:hideMark/>
          </w:tcPr>
          <w:p w:rsidR="004F0EBA" w:rsidRPr="004F0EBA" w:rsidRDefault="004F0EBA" w:rsidP="004F0EBA">
            <w:pPr>
              <w:spacing w:line="276" w:lineRule="auto"/>
              <w:rPr>
                <w:rFonts w:eastAsia="Times New Roman" w:cstheme="minorHAnsi"/>
                <w:sz w:val="20"/>
                <w:szCs w:val="20"/>
              </w:rPr>
            </w:pPr>
            <w:r w:rsidRPr="004F0EBA">
              <w:rPr>
                <w:rFonts w:eastAsia="Times New Roman" w:cstheme="minorHAnsi"/>
                <w:sz w:val="20"/>
                <w:szCs w:val="20"/>
              </w:rPr>
              <w:t>SMILES / BigSMILES</w:t>
            </w:r>
          </w:p>
        </w:tc>
        <w:tc>
          <w:tcPr>
            <w:tcW w:w="1483" w:type="dxa"/>
            <w:hideMark/>
          </w:tcPr>
          <w:p w:rsidR="004F0EBA" w:rsidRPr="004F0EBA" w:rsidRDefault="004F0EBA" w:rsidP="004F0EBA">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Sequential correlation and chemical connectivity</w:t>
            </w:r>
          </w:p>
        </w:tc>
        <w:tc>
          <w:tcPr>
            <w:tcW w:w="1598" w:type="dxa"/>
            <w:hideMark/>
          </w:tcPr>
          <w:p w:rsidR="004F0EBA" w:rsidRPr="004F0EBA" w:rsidRDefault="004F0EBA" w:rsidP="004F0EBA">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Compact, NLP</w:t>
            </w:r>
            <w:r w:rsidRPr="004F0EBA">
              <w:rPr>
                <w:rFonts w:eastAsia="Times New Roman" w:cstheme="minorHAnsi"/>
                <w:sz w:val="20"/>
                <w:szCs w:val="20"/>
              </w:rPr>
              <w:noBreakHyphen/>
              <w:t>ready; well</w:t>
            </w:r>
            <w:r w:rsidRPr="004F0EBA">
              <w:rPr>
                <w:rFonts w:eastAsia="Times New Roman" w:cstheme="minorHAnsi"/>
                <w:sz w:val="20"/>
                <w:szCs w:val="20"/>
              </w:rPr>
              <w:noBreakHyphen/>
              <w:t>suited for large</w:t>
            </w:r>
            <w:r w:rsidRPr="004F0EBA">
              <w:rPr>
                <w:rFonts w:eastAsia="Times New Roman" w:cstheme="minorHAnsi"/>
                <w:sz w:val="20"/>
                <w:szCs w:val="20"/>
              </w:rPr>
              <w:noBreakHyphen/>
              <w:t>scale generative modeling</w:t>
            </w:r>
          </w:p>
        </w:tc>
        <w:tc>
          <w:tcPr>
            <w:tcW w:w="2718" w:type="dxa"/>
            <w:hideMark/>
          </w:tcPr>
          <w:p w:rsidR="004F0EBA" w:rsidRPr="004F0EBA" w:rsidRDefault="004F0EBA" w:rsidP="004F0EBA">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4F0EBA">
              <w:rPr>
                <w:rFonts w:eastAsia="Times New Roman" w:cstheme="minorHAnsi"/>
                <w:b/>
                <w:bCs/>
                <w:sz w:val="20"/>
                <w:szCs w:val="20"/>
              </w:rPr>
              <w:t>Stochastic Blindness</w:t>
            </w:r>
            <w:r w:rsidRPr="004F0EBA">
              <w:rPr>
                <w:rFonts w:eastAsia="Times New Roman" w:cstheme="minorHAnsi"/>
                <w:sz w:val="20"/>
                <w:szCs w:val="20"/>
              </w:rPr>
              <w:t>: lacks 3D, ensemble, and chain</w:t>
            </w:r>
            <w:r w:rsidRPr="004F0EBA">
              <w:rPr>
                <w:rFonts w:eastAsia="Times New Roman" w:cstheme="minorHAnsi"/>
                <w:sz w:val="20"/>
                <w:szCs w:val="20"/>
              </w:rPr>
              <w:noBreakHyphen/>
              <w:t>entanglement information</w:t>
            </w:r>
          </w:p>
        </w:tc>
        <w:tc>
          <w:tcPr>
            <w:tcW w:w="0" w:type="auto"/>
            <w:hideMark/>
          </w:tcPr>
          <w:p w:rsidR="004F0EBA" w:rsidRPr="004F0EBA" w:rsidRDefault="004F0EBA" w:rsidP="004F0EBA">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Generative design, sequence optimization, pretraining on large polymer corpora</w:t>
            </w:r>
          </w:p>
        </w:tc>
      </w:tr>
      <w:tr w:rsidR="004F0EBA" w:rsidRPr="004F0EBA" w:rsidTr="00F02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4" w:type="dxa"/>
            <w:hideMark/>
          </w:tcPr>
          <w:p w:rsidR="004F0EBA" w:rsidRPr="004F0EBA" w:rsidRDefault="004F0EBA" w:rsidP="004F0EBA">
            <w:pPr>
              <w:spacing w:line="276" w:lineRule="auto"/>
              <w:rPr>
                <w:rFonts w:eastAsia="Times New Roman" w:cstheme="minorHAnsi"/>
                <w:sz w:val="20"/>
                <w:szCs w:val="20"/>
              </w:rPr>
            </w:pPr>
            <w:r w:rsidRPr="004F0EBA">
              <w:rPr>
                <w:rFonts w:eastAsia="Times New Roman" w:cstheme="minorHAnsi"/>
                <w:sz w:val="20"/>
                <w:szCs w:val="20"/>
              </w:rPr>
              <w:t>Molecular Graphs</w:t>
            </w:r>
          </w:p>
        </w:tc>
        <w:tc>
          <w:tcPr>
            <w:tcW w:w="1483" w:type="dxa"/>
            <w:hideMark/>
          </w:tcPr>
          <w:p w:rsidR="004F0EBA" w:rsidRPr="004F0EBA" w:rsidRDefault="004F0EBA" w:rsidP="004F0EB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Relational invariance; topology and local chemistry</w:t>
            </w:r>
          </w:p>
        </w:tc>
        <w:tc>
          <w:tcPr>
            <w:tcW w:w="1598" w:type="dxa"/>
            <w:hideMark/>
          </w:tcPr>
          <w:p w:rsidR="004F0EBA" w:rsidRPr="004F0EBA" w:rsidRDefault="004F0EBA" w:rsidP="004F0EB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Structurally faithful representation of bonding and connectivity</w:t>
            </w:r>
          </w:p>
        </w:tc>
        <w:tc>
          <w:tcPr>
            <w:tcW w:w="2718" w:type="dxa"/>
            <w:hideMark/>
          </w:tcPr>
          <w:p w:rsidR="004F0EBA" w:rsidRPr="004F0EBA" w:rsidRDefault="004F0EBA" w:rsidP="004F0EB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4F0EBA">
              <w:rPr>
                <w:rFonts w:eastAsia="Times New Roman" w:cstheme="minorHAnsi"/>
                <w:b/>
                <w:bCs/>
                <w:sz w:val="20"/>
                <w:szCs w:val="20"/>
              </w:rPr>
              <w:t>Single</w:t>
            </w:r>
            <w:r w:rsidRPr="004F0EBA">
              <w:rPr>
                <w:rFonts w:ascii="Cambria Math" w:eastAsia="Times New Roman" w:hAnsi="Cambria Math" w:cs="Cambria Math"/>
                <w:b/>
                <w:bCs/>
                <w:sz w:val="20"/>
                <w:szCs w:val="20"/>
              </w:rPr>
              <w:t>‑</w:t>
            </w:r>
            <w:r w:rsidRPr="004F0EBA">
              <w:rPr>
                <w:rFonts w:eastAsia="Times New Roman" w:cstheme="minorHAnsi"/>
                <w:b/>
                <w:bCs/>
                <w:sz w:val="20"/>
                <w:szCs w:val="20"/>
              </w:rPr>
              <w:t xml:space="preserve">Structure Assumption </w:t>
            </w:r>
            <w:r w:rsidRPr="004F0EBA">
              <w:rPr>
                <w:rFonts w:eastAsia="Times New Roman" w:cstheme="minorHAnsi"/>
                <w:sz w:val="20"/>
                <w:szCs w:val="20"/>
              </w:rPr>
              <w:t>Captures one static graph, ignoring polydispersity, chain</w:t>
            </w:r>
            <w:r w:rsidRPr="004F0EBA">
              <w:rPr>
                <w:rFonts w:ascii="Cambria Math" w:eastAsia="Times New Roman" w:hAnsi="Cambria Math" w:cs="Cambria Math"/>
                <w:sz w:val="20"/>
                <w:szCs w:val="20"/>
              </w:rPr>
              <w:t>‑</w:t>
            </w:r>
            <w:r w:rsidRPr="004F0EBA">
              <w:rPr>
                <w:rFonts w:eastAsia="Times New Roman" w:cstheme="minorHAnsi"/>
                <w:sz w:val="20"/>
                <w:szCs w:val="20"/>
              </w:rPr>
              <w:t>length distributions, and long</w:t>
            </w:r>
            <w:r w:rsidRPr="004F0EBA">
              <w:rPr>
                <w:rFonts w:ascii="Cambria Math" w:eastAsia="Times New Roman" w:hAnsi="Cambria Math" w:cs="Cambria Math"/>
                <w:sz w:val="20"/>
                <w:szCs w:val="20"/>
              </w:rPr>
              <w:t>‑</w:t>
            </w:r>
            <w:r w:rsidRPr="004F0EBA">
              <w:rPr>
                <w:rFonts w:eastAsia="Times New Roman" w:cstheme="minorHAnsi"/>
                <w:sz w:val="20"/>
                <w:szCs w:val="20"/>
              </w:rPr>
              <w:t>range physical interactions (entanglement, phase separation). Graph size scales with DP, becoming unwieldy for high</w:t>
            </w:r>
            <w:r w:rsidRPr="004F0EBA">
              <w:rPr>
                <w:rFonts w:ascii="Cambria Math" w:eastAsia="Times New Roman" w:hAnsi="Cambria Math" w:cs="Cambria Math"/>
                <w:sz w:val="20"/>
                <w:szCs w:val="20"/>
              </w:rPr>
              <w:t>‑</w:t>
            </w:r>
            <w:r w:rsidRPr="004F0EBA">
              <w:rPr>
                <w:rFonts w:eastAsia="Times New Roman" w:cstheme="minorHAnsi"/>
                <w:sz w:val="20"/>
                <w:szCs w:val="20"/>
              </w:rPr>
              <w:t>MW polymers.</w:t>
            </w:r>
          </w:p>
        </w:tc>
        <w:tc>
          <w:tcPr>
            <w:tcW w:w="0" w:type="auto"/>
            <w:hideMark/>
          </w:tcPr>
          <w:p w:rsidR="004F0EBA" w:rsidRPr="004F0EBA" w:rsidRDefault="004F0EBA" w:rsidP="004F0EB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Property prediction for novel backbones, catalysis, single</w:t>
            </w:r>
            <w:r w:rsidRPr="004F0EBA">
              <w:rPr>
                <w:rFonts w:eastAsia="Times New Roman" w:cstheme="minorHAnsi"/>
                <w:sz w:val="20"/>
                <w:szCs w:val="20"/>
              </w:rPr>
              <w:noBreakHyphen/>
              <w:t>chain studies</w:t>
            </w:r>
          </w:p>
        </w:tc>
      </w:tr>
      <w:tr w:rsidR="004F0EBA" w:rsidRPr="004F0EBA" w:rsidTr="00F02B89">
        <w:tc>
          <w:tcPr>
            <w:cnfStyle w:val="001000000000" w:firstRow="0" w:lastRow="0" w:firstColumn="1" w:lastColumn="0" w:oddVBand="0" w:evenVBand="0" w:oddHBand="0" w:evenHBand="0" w:firstRowFirstColumn="0" w:firstRowLastColumn="0" w:lastRowFirstColumn="0" w:lastRowLastColumn="0"/>
            <w:tcW w:w="1594" w:type="dxa"/>
            <w:hideMark/>
          </w:tcPr>
          <w:p w:rsidR="004F0EBA" w:rsidRPr="004F0EBA" w:rsidRDefault="004F0EBA" w:rsidP="004F0EBA">
            <w:pPr>
              <w:spacing w:line="276" w:lineRule="auto"/>
              <w:rPr>
                <w:rFonts w:eastAsia="Times New Roman" w:cstheme="minorHAnsi"/>
                <w:sz w:val="20"/>
                <w:szCs w:val="20"/>
              </w:rPr>
            </w:pPr>
            <w:r w:rsidRPr="004F0EBA">
              <w:rPr>
                <w:rFonts w:eastAsia="Times New Roman" w:cstheme="minorHAnsi"/>
                <w:sz w:val="20"/>
                <w:szCs w:val="20"/>
              </w:rPr>
              <w:t>Hypergraphs / Junction</w:t>
            </w:r>
            <w:r w:rsidRPr="004F0EBA">
              <w:rPr>
                <w:rFonts w:eastAsia="Times New Roman" w:cstheme="minorHAnsi"/>
                <w:sz w:val="20"/>
                <w:szCs w:val="20"/>
              </w:rPr>
              <w:noBreakHyphen/>
              <w:t>Aware Models</w:t>
            </w:r>
          </w:p>
        </w:tc>
        <w:tc>
          <w:tcPr>
            <w:tcW w:w="1483" w:type="dxa"/>
            <w:hideMark/>
          </w:tcPr>
          <w:p w:rsidR="004F0EBA" w:rsidRPr="004F0EBA" w:rsidRDefault="004F0EBA" w:rsidP="004F0EBA">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Multi</w:t>
            </w:r>
            <w:r w:rsidRPr="004F0EBA">
              <w:rPr>
                <w:rFonts w:eastAsia="Times New Roman" w:cstheme="minorHAnsi"/>
                <w:sz w:val="20"/>
                <w:szCs w:val="20"/>
              </w:rPr>
              <w:noBreakHyphen/>
              <w:t>relational structure; branching, junctions, and crosslinks</w:t>
            </w:r>
          </w:p>
        </w:tc>
        <w:tc>
          <w:tcPr>
            <w:tcW w:w="1598" w:type="dxa"/>
            <w:hideMark/>
          </w:tcPr>
          <w:p w:rsidR="004F0EBA" w:rsidRPr="004F0EBA" w:rsidRDefault="004F0EBA" w:rsidP="004F0EBA">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Explicit modeling of nonlinear topology and junction multiplicity</w:t>
            </w:r>
          </w:p>
        </w:tc>
        <w:tc>
          <w:tcPr>
            <w:tcW w:w="2718" w:type="dxa"/>
            <w:hideMark/>
          </w:tcPr>
          <w:p w:rsidR="004F0EBA" w:rsidRPr="004F0EBA" w:rsidRDefault="004F0EBA" w:rsidP="004F0EBA">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4F0EBA">
              <w:rPr>
                <w:rFonts w:eastAsia="Times New Roman" w:cstheme="minorHAnsi"/>
                <w:b/>
                <w:bCs/>
                <w:sz w:val="20"/>
                <w:szCs w:val="20"/>
              </w:rPr>
              <w:t>Data Hunger and Complexity</w:t>
            </w:r>
            <w:r w:rsidRPr="004F0EBA">
              <w:rPr>
                <w:rFonts w:eastAsia="Times New Roman" w:cstheme="minorHAnsi"/>
                <w:sz w:val="20"/>
                <w:szCs w:val="20"/>
              </w:rPr>
              <w:t xml:space="preserve"> High data requirements and model complexity; limited standardized benchmarks</w:t>
            </w:r>
          </w:p>
        </w:tc>
        <w:tc>
          <w:tcPr>
            <w:tcW w:w="0" w:type="auto"/>
            <w:hideMark/>
          </w:tcPr>
          <w:p w:rsidR="004F0EBA" w:rsidRPr="004F0EBA" w:rsidRDefault="004F0EBA" w:rsidP="004F0EBA">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Design and analysis of stars, brushes, networks, vitrimers, and other complex architectures</w:t>
            </w:r>
          </w:p>
        </w:tc>
      </w:tr>
      <w:tr w:rsidR="004F0EBA" w:rsidRPr="004F0EBA" w:rsidTr="00F02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4" w:type="dxa"/>
            <w:hideMark/>
          </w:tcPr>
          <w:p w:rsidR="004F0EBA" w:rsidRPr="004F0EBA" w:rsidRDefault="004F0EBA" w:rsidP="004F0EBA">
            <w:pPr>
              <w:spacing w:line="276" w:lineRule="auto"/>
              <w:rPr>
                <w:rFonts w:eastAsia="Times New Roman" w:cstheme="minorHAnsi"/>
                <w:sz w:val="20"/>
                <w:szCs w:val="20"/>
              </w:rPr>
            </w:pPr>
            <w:r w:rsidRPr="004F0EBA">
              <w:rPr>
                <w:rFonts w:eastAsia="Times New Roman" w:cstheme="minorHAnsi"/>
                <w:sz w:val="20"/>
                <w:szCs w:val="20"/>
              </w:rPr>
              <w:t>Voxel / Grid</w:t>
            </w:r>
            <w:r w:rsidRPr="004F0EBA">
              <w:rPr>
                <w:rFonts w:eastAsia="Times New Roman" w:cstheme="minorHAnsi"/>
                <w:sz w:val="20"/>
                <w:szCs w:val="20"/>
              </w:rPr>
              <w:noBreakHyphen/>
              <w:t>Based</w:t>
            </w:r>
          </w:p>
        </w:tc>
        <w:tc>
          <w:tcPr>
            <w:tcW w:w="1483" w:type="dxa"/>
            <w:hideMark/>
          </w:tcPr>
          <w:p w:rsidR="004F0EBA" w:rsidRPr="004F0EBA" w:rsidRDefault="004F0EBA" w:rsidP="004F0EB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Spatial locality; morphology and 3D structure</w:t>
            </w:r>
          </w:p>
        </w:tc>
        <w:tc>
          <w:tcPr>
            <w:tcW w:w="1598" w:type="dxa"/>
            <w:hideMark/>
          </w:tcPr>
          <w:p w:rsidR="004F0EBA" w:rsidRPr="004F0EBA" w:rsidRDefault="004F0EBA" w:rsidP="004F0EB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Direct capture of real spatial heterogeneity and phase</w:t>
            </w:r>
            <w:r w:rsidRPr="004F0EBA">
              <w:rPr>
                <w:rFonts w:eastAsia="Times New Roman" w:cstheme="minorHAnsi"/>
                <w:sz w:val="20"/>
                <w:szCs w:val="20"/>
              </w:rPr>
              <w:noBreakHyphen/>
              <w:t>separation patterns</w:t>
            </w:r>
          </w:p>
        </w:tc>
        <w:tc>
          <w:tcPr>
            <w:tcW w:w="2718" w:type="dxa"/>
            <w:hideMark/>
          </w:tcPr>
          <w:p w:rsidR="004F0EBA" w:rsidRPr="004F0EBA" w:rsidRDefault="004F0EBA" w:rsidP="004F0EB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4F0EBA">
              <w:rPr>
                <w:rFonts w:eastAsia="Times New Roman" w:cstheme="minorHAnsi"/>
                <w:b/>
                <w:bCs/>
                <w:sz w:val="20"/>
                <w:szCs w:val="20"/>
              </w:rPr>
              <w:t>Curse of Resolution</w:t>
            </w:r>
            <w:r w:rsidRPr="004F0EBA">
              <w:rPr>
                <w:rFonts w:eastAsia="Times New Roman" w:cstheme="minorHAnsi"/>
                <w:sz w:val="20"/>
                <w:szCs w:val="20"/>
              </w:rPr>
              <w:t>: memory</w:t>
            </w:r>
            <w:r w:rsidRPr="004F0EBA">
              <w:rPr>
                <w:rFonts w:eastAsia="Times New Roman" w:cstheme="minorHAnsi"/>
                <w:sz w:val="20"/>
                <w:szCs w:val="20"/>
              </w:rPr>
              <w:noBreakHyphen/>
              <w:t xml:space="preserve"> and compute</w:t>
            </w:r>
            <w:r w:rsidRPr="004F0EBA">
              <w:rPr>
                <w:rFonts w:eastAsia="Times New Roman" w:cstheme="minorHAnsi"/>
                <w:sz w:val="20"/>
                <w:szCs w:val="20"/>
              </w:rPr>
              <w:noBreakHyphen/>
              <w:t>intensive; data</w:t>
            </w:r>
            <w:r w:rsidRPr="004F0EBA">
              <w:rPr>
                <w:rFonts w:eastAsia="Times New Roman" w:cstheme="minorHAnsi"/>
                <w:sz w:val="20"/>
                <w:szCs w:val="20"/>
              </w:rPr>
              <w:noBreakHyphen/>
              <w:t>hungry for large volumes</w:t>
            </w:r>
          </w:p>
        </w:tc>
        <w:tc>
          <w:tcPr>
            <w:tcW w:w="0" w:type="auto"/>
            <w:hideMark/>
          </w:tcPr>
          <w:p w:rsidR="004F0EBA" w:rsidRPr="004F0EBA" w:rsidRDefault="004F0EBA" w:rsidP="004F0EBA">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Linking morphology to properties (e.g., SAXS/TEM), phase</w:t>
            </w:r>
            <w:r w:rsidRPr="004F0EBA">
              <w:rPr>
                <w:rFonts w:eastAsia="Times New Roman" w:cstheme="minorHAnsi"/>
                <w:sz w:val="20"/>
                <w:szCs w:val="20"/>
              </w:rPr>
              <w:noBreakHyphen/>
              <w:t>behavior studies</w:t>
            </w:r>
          </w:p>
        </w:tc>
      </w:tr>
      <w:tr w:rsidR="004F0EBA" w:rsidRPr="004F0EBA" w:rsidTr="00F02B89">
        <w:tc>
          <w:tcPr>
            <w:cnfStyle w:val="001000000000" w:firstRow="0" w:lastRow="0" w:firstColumn="1" w:lastColumn="0" w:oddVBand="0" w:evenVBand="0" w:oddHBand="0" w:evenHBand="0" w:firstRowFirstColumn="0" w:firstRowLastColumn="0" w:lastRowFirstColumn="0" w:lastRowLastColumn="0"/>
            <w:tcW w:w="1594" w:type="dxa"/>
            <w:hideMark/>
          </w:tcPr>
          <w:p w:rsidR="004F0EBA" w:rsidRPr="004F0EBA" w:rsidRDefault="004F0EBA" w:rsidP="004F0EBA">
            <w:pPr>
              <w:spacing w:line="276" w:lineRule="auto"/>
              <w:rPr>
                <w:rFonts w:eastAsia="Times New Roman" w:cstheme="minorHAnsi"/>
                <w:sz w:val="20"/>
                <w:szCs w:val="20"/>
              </w:rPr>
            </w:pPr>
            <w:r w:rsidRPr="004F0EBA">
              <w:rPr>
                <w:rFonts w:eastAsia="Times New Roman" w:cstheme="minorHAnsi"/>
                <w:sz w:val="20"/>
                <w:szCs w:val="20"/>
              </w:rPr>
              <w:lastRenderedPageBreak/>
              <w:t>Multimodal / Hybrid</w:t>
            </w:r>
          </w:p>
        </w:tc>
        <w:tc>
          <w:tcPr>
            <w:tcW w:w="1483" w:type="dxa"/>
            <w:hideMark/>
          </w:tcPr>
          <w:p w:rsidR="004F0EBA" w:rsidRPr="004F0EBA" w:rsidRDefault="004F0EBA" w:rsidP="004F0EBA">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Causal integration of chemistry, morphology, and processing history</w:t>
            </w:r>
          </w:p>
        </w:tc>
        <w:tc>
          <w:tcPr>
            <w:tcW w:w="1598" w:type="dxa"/>
            <w:hideMark/>
          </w:tcPr>
          <w:p w:rsidR="004F0EBA" w:rsidRPr="004F0EBA" w:rsidRDefault="004F0EBA" w:rsidP="004F0EBA">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Holistic view; potentially more robust and transferable across tasks and conditions</w:t>
            </w:r>
          </w:p>
        </w:tc>
        <w:tc>
          <w:tcPr>
            <w:tcW w:w="2718" w:type="dxa"/>
            <w:hideMark/>
          </w:tcPr>
          <w:p w:rsidR="004F0EBA" w:rsidRPr="004F0EBA" w:rsidRDefault="004F0EBA" w:rsidP="004F0EBA">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4F0EBA">
              <w:rPr>
                <w:rFonts w:eastAsia="Times New Roman" w:cstheme="minorHAnsi"/>
                <w:b/>
                <w:bCs/>
                <w:sz w:val="20"/>
                <w:szCs w:val="20"/>
              </w:rPr>
              <w:t>Feature Misalignment</w:t>
            </w:r>
            <w:r w:rsidRPr="004F0EBA">
              <w:rPr>
                <w:rFonts w:eastAsia="Times New Roman" w:cstheme="minorHAnsi"/>
                <w:sz w:val="20"/>
                <w:szCs w:val="20"/>
              </w:rPr>
              <w:t>: requires well</w:t>
            </w:r>
            <w:r w:rsidRPr="004F0EBA">
              <w:rPr>
                <w:rFonts w:eastAsia="Times New Roman" w:cstheme="minorHAnsi"/>
                <w:sz w:val="20"/>
                <w:szCs w:val="20"/>
              </w:rPr>
              <w:noBreakHyphen/>
              <w:t>aligned, multi</w:t>
            </w:r>
            <w:r w:rsidRPr="004F0EBA">
              <w:rPr>
                <w:rFonts w:eastAsia="Times New Roman" w:cstheme="minorHAnsi"/>
                <w:sz w:val="20"/>
                <w:szCs w:val="20"/>
              </w:rPr>
              <w:noBreakHyphen/>
              <w:t>source data; integration is architecturally complex</w:t>
            </w:r>
          </w:p>
        </w:tc>
        <w:tc>
          <w:tcPr>
            <w:tcW w:w="0" w:type="auto"/>
            <w:hideMark/>
          </w:tcPr>
          <w:p w:rsidR="004F0EBA" w:rsidRPr="004F0EBA" w:rsidRDefault="004F0EBA" w:rsidP="004F0EBA">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4F0EBA">
              <w:rPr>
                <w:rFonts w:eastAsia="Times New Roman" w:cstheme="minorHAnsi"/>
                <w:sz w:val="20"/>
                <w:szCs w:val="20"/>
              </w:rPr>
              <w:t>Autonomous discovery workflows; systems with strong processing</w:t>
            </w:r>
            <w:r w:rsidRPr="004F0EBA">
              <w:rPr>
                <w:rFonts w:eastAsia="Times New Roman" w:cstheme="minorHAnsi"/>
                <w:sz w:val="20"/>
                <w:szCs w:val="20"/>
              </w:rPr>
              <w:noBreakHyphen/>
              <w:t>history dependence</w:t>
            </w:r>
          </w:p>
        </w:tc>
      </w:tr>
    </w:tbl>
    <w:p w:rsidR="004F0EBA" w:rsidRDefault="004F0EBA" w:rsidP="004D0E2F">
      <w:pPr>
        <w:spacing w:after="0" w:line="360" w:lineRule="auto"/>
        <w:jc w:val="both"/>
        <w:rPr>
          <w:rFonts w:cstheme="minorHAnsi"/>
          <w:sz w:val="20"/>
          <w:szCs w:val="20"/>
        </w:rPr>
      </w:pPr>
      <w:r w:rsidRPr="00DE4DC4">
        <w:rPr>
          <w:rFonts w:asciiTheme="majorBidi" w:hAnsiTheme="majorBidi" w:cstheme="majorBidi"/>
          <w:noProof/>
        </w:rPr>
        <mc:AlternateContent>
          <mc:Choice Requires="wps">
            <w:drawing>
              <wp:anchor distT="0" distB="0" distL="114300" distR="114300" simplePos="0" relativeHeight="251671552" behindDoc="0" locked="0" layoutInCell="1" allowOverlap="1" wp14:anchorId="4A0BCF82" wp14:editId="42249627">
                <wp:simplePos x="0" y="0"/>
                <wp:positionH relativeFrom="margin">
                  <wp:align>left</wp:align>
                </wp:positionH>
                <wp:positionV relativeFrom="paragraph">
                  <wp:posOffset>79375</wp:posOffset>
                </wp:positionV>
                <wp:extent cx="6219825" cy="452063"/>
                <wp:effectExtent l="0" t="0" r="9525" b="5715"/>
                <wp:wrapNone/>
                <wp:docPr id="29" name="Text Box 29"/>
                <wp:cNvGraphicFramePr/>
                <a:graphic xmlns:a="http://schemas.openxmlformats.org/drawingml/2006/main">
                  <a:graphicData uri="http://schemas.microsoft.com/office/word/2010/wordprocessingShape">
                    <wps:wsp>
                      <wps:cNvSpPr txBox="1"/>
                      <wps:spPr>
                        <a:xfrm>
                          <a:off x="0" y="0"/>
                          <a:ext cx="6219825" cy="452063"/>
                        </a:xfrm>
                        <a:prstGeom prst="rect">
                          <a:avLst/>
                        </a:prstGeom>
                        <a:solidFill>
                          <a:schemeClr val="lt1"/>
                        </a:solidFill>
                        <a:ln w="6350">
                          <a:noFill/>
                        </a:ln>
                      </wps:spPr>
                      <wps:txbx>
                        <w:txbxContent>
                          <w:p w:rsidR="005562ED" w:rsidRPr="004F0EBA" w:rsidRDefault="005562ED" w:rsidP="004F0EBA">
                            <w:pPr>
                              <w:rPr>
                                <w:rFonts w:cstheme="minorHAnsi"/>
                                <w:sz w:val="18"/>
                                <w:szCs w:val="18"/>
                              </w:rPr>
                            </w:pPr>
                            <w:r w:rsidRPr="004F0EBA">
                              <w:rPr>
                                <w:rFonts w:cstheme="minorHAnsi"/>
                                <w:b/>
                                <w:bCs/>
                                <w:sz w:val="18"/>
                                <w:szCs w:val="18"/>
                              </w:rPr>
                              <w:t xml:space="preserve">Table 4: </w:t>
                            </w:r>
                            <w:r w:rsidRPr="004F0EBA">
                              <w:rPr>
                                <w:rFonts w:cstheme="minorHAnsi"/>
                                <w:sz w:val="18"/>
                                <w:szCs w:val="18"/>
                              </w:rPr>
                              <w:t>Comparative Synthesis of Representation Paradigms in Polymer Informatics. A critical mapping of inductive biases, architectural failure modes, and optimal application contexts across the macromolecular scale.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0BCF82" id="Text Box 29" o:spid="_x0000_s1031" type="#_x0000_t202" style="position:absolute;left:0;text-align:left;margin-left:0;margin-top:6.25pt;width:489.75pt;height:35.6pt;z-index:25167155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9G6RQIAAIIEAAAOAAAAZHJzL2Uyb0RvYy54bWysVMGO2jAQvVfqP1i+l4Qs0AURVpQVVSW0&#10;uxJUezaOQyw5Htc2JPTrO3YIS7c9Vb2Y8czkeea9GeYPba3ISVgnQed0OEgpEZpDIfUhp99360/3&#10;lDjPdMEUaJHTs3D0YfHxw7wxM5FBBaoQliCIdrPG5LTy3sySxPFK1MwNwAiNwRJszTxe7SEpLGsQ&#10;vVZJlqaTpAFbGAtcOIfexy5IFxG/LAX3z2XphCcqp1ibj6eN5z6cyWLOZgfLTCX5pQz2D1XUTGp8&#10;9Ar1yDwjRyv/gKolt+Cg9AMOdQJlKbmIPWA3w/RdN9uKGRF7QXKcudLk/h8sfzq9WCKLnGZTSjSr&#10;UaOdaD35Ai1BF/LTGDfDtK3BRN+iH3Xu/Q6doe22tHX4xYYIxpHp85XdgMbROcmG0/tsTAnH2Gic&#10;pZO7AJO8fW2s818F1CQYObWoXiSVnTbOd6l9SnjMgZLFWioVL2FixEpZcmKotfKxRgT/LUtp0mAl&#10;d+M0AmsIn3fISmMtodeup2D5dt9GbsZ9v3sozkiDhW6QnOFribVumPMvzOLkYOe4Df4Zj1IBvgUX&#10;i5IK7M+/+UM+CopRShqcxJy6H0dmBSXqm0app8PRKIxuvIzGnzO82NvI/jaij/UKkIAh7p3h0Qz5&#10;XvVmaaF+xaVZhlcxxDTHt3Pqe3Plu/3ApeNiuYxJOKyG+Y3eGh6gA+FBiV37yqy5yOVR6CfoZ5bN&#10;3qnW5YYvNSyPHkoZJQ08d6xe6MdBj0NxWcqwSbf3mPX217H4BQAA//8DAFBLAwQUAAYACAAAACEA&#10;ApNfQd8AAAAGAQAADwAAAGRycy9kb3ducmV2LnhtbEyPS0/DMBCE70j9D9ZW4oKoQ6OSNsSpEOIh&#10;9UbDQ9zceJtEjddR7Cbh37Oc4Lazs5r5NttOthUD9r5xpOBmEYFAKp1pqFLwVjxdr0H4oMno1hEq&#10;+EYP23x2kenUuJFecdiHSnAI+VQrqEPoUil9WaPVfuE6JPaOrrc6sOwraXo9crht5TKKbqXVDXFD&#10;rTt8qLE87c9WwddV9bnz0/P7GK/i7vFlKJIPUyh1OZ/u70AEnMLfMfziMzrkzHRwZzJetAr4kcDb&#10;5QoEu5tkw8NBwTpOQOaZ/I+f/wAAAP//AwBQSwECLQAUAAYACAAAACEAtoM4kv4AAADhAQAAEwAA&#10;AAAAAAAAAAAAAAAAAAAAW0NvbnRlbnRfVHlwZXNdLnhtbFBLAQItABQABgAIAAAAIQA4/SH/1gAA&#10;AJQBAAALAAAAAAAAAAAAAAAAAC8BAABfcmVscy8ucmVsc1BLAQItABQABgAIAAAAIQAPV9G6RQIA&#10;AIIEAAAOAAAAAAAAAAAAAAAAAC4CAABkcnMvZTJvRG9jLnhtbFBLAQItABQABgAIAAAAIQACk19B&#10;3wAAAAYBAAAPAAAAAAAAAAAAAAAAAJ8EAABkcnMvZG93bnJldi54bWxQSwUGAAAAAAQABADzAAAA&#10;qwUAAAAA&#10;" fillcolor="white [3201]" stroked="f" strokeweight=".5pt">
                <v:textbox>
                  <w:txbxContent>
                    <w:p w:rsidR="005562ED" w:rsidRPr="004F0EBA" w:rsidRDefault="005562ED" w:rsidP="004F0EBA">
                      <w:pPr>
                        <w:rPr>
                          <w:rFonts w:cstheme="minorHAnsi"/>
                          <w:sz w:val="18"/>
                          <w:szCs w:val="18"/>
                        </w:rPr>
                      </w:pPr>
                      <w:r w:rsidRPr="004F0EBA">
                        <w:rPr>
                          <w:rFonts w:cstheme="minorHAnsi"/>
                          <w:b/>
                          <w:bCs/>
                          <w:sz w:val="18"/>
                          <w:szCs w:val="18"/>
                        </w:rPr>
                        <w:t xml:space="preserve">Table 4: </w:t>
                      </w:r>
                      <w:r w:rsidRPr="004F0EBA">
                        <w:rPr>
                          <w:rFonts w:cstheme="minorHAnsi"/>
                          <w:sz w:val="18"/>
                          <w:szCs w:val="18"/>
                        </w:rPr>
                        <w:t>Comparative Synthesis of Representation Paradigms in Polymer Informatics. A critical mapping of inductive biases, architectural failure modes, and optimal application contexts across the macromolecular scale.</w:t>
                      </w:r>
                    </w:p>
                  </w:txbxContent>
                </v:textbox>
                <w10:wrap anchorx="margin"/>
              </v:shape>
            </w:pict>
          </mc:Fallback>
        </mc:AlternateContent>
      </w:r>
    </w:p>
    <w:p w:rsidR="004F0EBA" w:rsidRPr="006C7800" w:rsidRDefault="004F0EBA" w:rsidP="004D0E2F">
      <w:pPr>
        <w:spacing w:after="0" w:line="360" w:lineRule="auto"/>
        <w:jc w:val="both"/>
        <w:rPr>
          <w:rFonts w:cstheme="minorHAnsi"/>
          <w:sz w:val="20"/>
          <w:szCs w:val="20"/>
        </w:rPr>
      </w:pPr>
    </w:p>
    <w:p w:rsidR="004F0EBA" w:rsidRDefault="004F0EBA" w:rsidP="004F0EBA">
      <w:pPr>
        <w:spacing w:after="0" w:line="360" w:lineRule="auto"/>
        <w:jc w:val="both"/>
        <w:rPr>
          <w:rFonts w:cstheme="minorHAnsi"/>
          <w:b/>
          <w:bCs/>
          <w:sz w:val="24"/>
          <w:szCs w:val="24"/>
        </w:rPr>
      </w:pPr>
    </w:p>
    <w:p w:rsidR="004F0EBA" w:rsidRPr="004F0EBA" w:rsidRDefault="004F0EBA" w:rsidP="004F0EBA">
      <w:pPr>
        <w:spacing w:after="0" w:line="360" w:lineRule="auto"/>
        <w:jc w:val="both"/>
        <w:rPr>
          <w:rFonts w:cstheme="minorHAnsi"/>
          <w:sz w:val="20"/>
          <w:szCs w:val="20"/>
        </w:rPr>
      </w:pPr>
      <w:r w:rsidRPr="006C7800">
        <w:rPr>
          <w:rFonts w:cstheme="minorHAnsi"/>
          <w:sz w:val="20"/>
          <w:szCs w:val="20"/>
        </w:rPr>
        <w:t>The analytical trajectory is clear: polymer informatics moves decisively from static, single-scale encodings toward dynamic, multiscale, physics-aware representations reflecting true polymer system complexity. This choice acts as the foundational constraint determining which model architectures (GNNs to Transformers) can be effectively applied, a topic explored in the following sections on predictive modeling and inverse design.</w:t>
      </w:r>
    </w:p>
    <w:p w:rsidR="00C57922" w:rsidRPr="00B85B57" w:rsidRDefault="00C57922" w:rsidP="004F0EBA">
      <w:pPr>
        <w:spacing w:before="240" w:line="360" w:lineRule="auto"/>
        <w:jc w:val="both"/>
        <w:rPr>
          <w:rFonts w:cstheme="minorHAnsi"/>
          <w:b/>
          <w:bCs/>
          <w:sz w:val="24"/>
          <w:szCs w:val="24"/>
        </w:rPr>
      </w:pPr>
      <w:r w:rsidRPr="00B85B57">
        <w:rPr>
          <w:rFonts w:cstheme="minorHAnsi"/>
          <w:b/>
          <w:bCs/>
          <w:sz w:val="24"/>
          <w:szCs w:val="24"/>
        </w:rPr>
        <w:t>3. Deep Learning Architectures in Polymer Science</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Deep learning reshaped polymer informatics by enabling models learning directly from complex, high-dimensional data. However, success depends critically on inductive bias, the structural assumptions encoded about data. Polymers challenge conventional DL paradigms by spanning multiple representations (sequences, graphs, images, time series) and exhibiting hierarchical, stochastic, multiscale behavior. This section evaluates major DL architectures through a computational lens, emphasizing algorithmic alignment with polymer data realities. Each architecture is evaluated using a unified template: inductive bias, primary application, strengths, limitations, and suitability, enabling direct comparison. To reflect state-of-the-art, this section expands focus on GNNs, Transformers, and Diffusion Models, dominant paradigms for capturing polymer complexities.</w:t>
      </w:r>
    </w:p>
    <w:p w:rsidR="00C57922" w:rsidRPr="00B85B57" w:rsidRDefault="00C57922" w:rsidP="00B85B57">
      <w:pPr>
        <w:spacing w:before="240" w:after="0" w:line="360" w:lineRule="auto"/>
        <w:jc w:val="both"/>
        <w:rPr>
          <w:rFonts w:cstheme="minorHAnsi"/>
          <w:b/>
          <w:bCs/>
        </w:rPr>
      </w:pPr>
      <w:r w:rsidRPr="00B85B57">
        <w:rPr>
          <w:rFonts w:cstheme="minorHAnsi"/>
          <w:b/>
          <w:bCs/>
        </w:rPr>
        <w:t>3.1 Feedforward Neural Networks (FFNNs): Descriptor</w:t>
      </w:r>
      <w:r w:rsidRPr="00B85B57">
        <w:rPr>
          <w:rFonts w:cstheme="minorHAnsi"/>
          <w:b/>
          <w:bCs/>
        </w:rPr>
        <w:noBreakHyphen/>
        <w:t>Driven Baselines</w:t>
      </w:r>
    </w:p>
    <w:p w:rsidR="00C57922" w:rsidRPr="006C7800" w:rsidRDefault="00C57922" w:rsidP="004D0E2F">
      <w:pPr>
        <w:numPr>
          <w:ilvl w:val="0"/>
          <w:numId w:val="12"/>
        </w:numPr>
        <w:spacing w:after="0" w:line="360" w:lineRule="auto"/>
        <w:jc w:val="both"/>
        <w:rPr>
          <w:rFonts w:cstheme="minorHAnsi"/>
          <w:sz w:val="20"/>
          <w:szCs w:val="20"/>
        </w:rPr>
      </w:pPr>
      <w:r w:rsidRPr="006C7800">
        <w:rPr>
          <w:rFonts w:cstheme="minorHAnsi"/>
          <w:sz w:val="20"/>
          <w:szCs w:val="20"/>
        </w:rPr>
        <w:t>Core Inductive Bias: Position</w:t>
      </w:r>
      <w:r w:rsidRPr="006C7800">
        <w:rPr>
          <w:rFonts w:cstheme="minorHAnsi"/>
          <w:sz w:val="20"/>
          <w:szCs w:val="20"/>
        </w:rPr>
        <w:noBreakHyphen/>
        <w:t>invariant combination of fixed</w:t>
      </w:r>
      <w:r w:rsidRPr="006C7800">
        <w:rPr>
          <w:rFonts w:cstheme="minorHAnsi"/>
          <w:sz w:val="20"/>
          <w:szCs w:val="20"/>
        </w:rPr>
        <w:noBreakHyphen/>
        <w:t>length features.</w:t>
      </w:r>
    </w:p>
    <w:p w:rsidR="00C57922" w:rsidRPr="006C7800" w:rsidRDefault="00C57922" w:rsidP="004D0E2F">
      <w:pPr>
        <w:numPr>
          <w:ilvl w:val="0"/>
          <w:numId w:val="12"/>
        </w:numPr>
        <w:spacing w:after="0" w:line="360" w:lineRule="auto"/>
        <w:jc w:val="both"/>
        <w:rPr>
          <w:rFonts w:cstheme="minorHAnsi"/>
          <w:sz w:val="20"/>
          <w:szCs w:val="20"/>
        </w:rPr>
      </w:pPr>
      <w:r w:rsidRPr="006C7800">
        <w:rPr>
          <w:rFonts w:cstheme="minorHAnsi"/>
          <w:sz w:val="20"/>
          <w:szCs w:val="20"/>
        </w:rPr>
        <w:t>Primary Application: FFNNs [109] operate in descriptor</w:t>
      </w:r>
      <w:r w:rsidRPr="006C7800">
        <w:rPr>
          <w:rFonts w:cstheme="minorHAnsi"/>
          <w:sz w:val="20"/>
          <w:szCs w:val="20"/>
        </w:rPr>
        <w:noBreakHyphen/>
        <w:t>based QSPR/QSAR settings, mapping curated numerical features (group</w:t>
      </w:r>
      <w:r w:rsidRPr="006C7800">
        <w:rPr>
          <w:rFonts w:cstheme="minorHAnsi"/>
          <w:sz w:val="20"/>
          <w:szCs w:val="20"/>
        </w:rPr>
        <w:noBreakHyphen/>
        <w:t>contribution parameters, topological indices) to bulk properties (Tg, modulus, solubility).</w:t>
      </w:r>
    </w:p>
    <w:p w:rsidR="00C57922" w:rsidRPr="006C7800" w:rsidRDefault="00C57922" w:rsidP="004D0E2F">
      <w:pPr>
        <w:numPr>
          <w:ilvl w:val="0"/>
          <w:numId w:val="12"/>
        </w:numPr>
        <w:spacing w:after="0" w:line="360" w:lineRule="auto"/>
        <w:jc w:val="both"/>
        <w:rPr>
          <w:rFonts w:cstheme="minorHAnsi"/>
          <w:sz w:val="20"/>
          <w:szCs w:val="20"/>
        </w:rPr>
      </w:pPr>
      <w:r w:rsidRPr="006C7800">
        <w:rPr>
          <w:rFonts w:cstheme="minorHAnsi"/>
          <w:sz w:val="20"/>
          <w:szCs w:val="20"/>
        </w:rPr>
        <w:t>Strengths: Train efficiently on small datasets; provide fast inference; offer interpretability when inputs are human</w:t>
      </w:r>
      <w:r w:rsidRPr="006C7800">
        <w:rPr>
          <w:rFonts w:cstheme="minorHAnsi"/>
          <w:sz w:val="20"/>
          <w:szCs w:val="20"/>
        </w:rPr>
        <w:noBreakHyphen/>
        <w:t>defined physical descriptors.</w:t>
      </w:r>
    </w:p>
    <w:p w:rsidR="00C57922" w:rsidRPr="006C7800" w:rsidRDefault="00C57922" w:rsidP="004D0E2F">
      <w:pPr>
        <w:numPr>
          <w:ilvl w:val="0"/>
          <w:numId w:val="12"/>
        </w:numPr>
        <w:spacing w:after="0" w:line="360" w:lineRule="auto"/>
        <w:jc w:val="both"/>
        <w:rPr>
          <w:rFonts w:cstheme="minorHAnsi"/>
          <w:sz w:val="20"/>
          <w:szCs w:val="20"/>
        </w:rPr>
      </w:pPr>
      <w:r w:rsidRPr="006C7800">
        <w:rPr>
          <w:rFonts w:cstheme="minorHAnsi"/>
          <w:sz w:val="20"/>
          <w:szCs w:val="20"/>
        </w:rPr>
        <w:t>Critical Limitation: They provide no meaningful inductive bias for polymer structure. Cannot process raw graphs, sequences, or multimodal data without extensive, information</w:t>
      </w:r>
      <w:r w:rsidRPr="006C7800">
        <w:rPr>
          <w:rFonts w:cstheme="minorHAnsi"/>
          <w:sz w:val="20"/>
          <w:szCs w:val="20"/>
        </w:rPr>
        <w:noBreakHyphen/>
        <w:t>discarding feature engineering.</w:t>
      </w:r>
    </w:p>
    <w:p w:rsidR="00C57922" w:rsidRPr="006C7800" w:rsidRDefault="00C57922" w:rsidP="004D0E2F">
      <w:pPr>
        <w:numPr>
          <w:ilvl w:val="0"/>
          <w:numId w:val="12"/>
        </w:numPr>
        <w:spacing w:after="0" w:line="360" w:lineRule="auto"/>
        <w:jc w:val="both"/>
        <w:rPr>
          <w:rFonts w:cstheme="minorHAnsi"/>
          <w:sz w:val="20"/>
          <w:szCs w:val="20"/>
        </w:rPr>
      </w:pPr>
      <w:r w:rsidRPr="006C7800">
        <w:rPr>
          <w:rFonts w:cstheme="minorHAnsi"/>
          <w:sz w:val="20"/>
          <w:szCs w:val="20"/>
        </w:rPr>
        <w:t>Conclusion: Useful as baselines for descriptor</w:t>
      </w:r>
      <w:r w:rsidRPr="006C7800">
        <w:rPr>
          <w:rFonts w:cstheme="minorHAnsi"/>
          <w:sz w:val="20"/>
          <w:szCs w:val="20"/>
        </w:rPr>
        <w:noBreakHyphen/>
        <w:t>driven workflows but limited for tasks requiring direct reasoning over polymer structure.</w:t>
      </w:r>
    </w:p>
    <w:p w:rsidR="00C57922" w:rsidRPr="00B85B57" w:rsidRDefault="00C57922" w:rsidP="00B85B57">
      <w:pPr>
        <w:spacing w:before="240" w:after="0" w:line="360" w:lineRule="auto"/>
        <w:jc w:val="both"/>
        <w:rPr>
          <w:rFonts w:cstheme="minorHAnsi"/>
          <w:b/>
          <w:bCs/>
        </w:rPr>
      </w:pPr>
      <w:r w:rsidRPr="00B85B57">
        <w:rPr>
          <w:rFonts w:cstheme="minorHAnsi"/>
          <w:b/>
          <w:bCs/>
        </w:rPr>
        <w:lastRenderedPageBreak/>
        <w:t>3.2 Convolutional Neural Networks (CNNs): Extracting Spatial Hierarchies</w:t>
      </w:r>
    </w:p>
    <w:p w:rsidR="00C57922" w:rsidRPr="006C7800" w:rsidRDefault="00C57922" w:rsidP="004D0E2F">
      <w:pPr>
        <w:numPr>
          <w:ilvl w:val="0"/>
          <w:numId w:val="13"/>
        </w:numPr>
        <w:spacing w:after="0" w:line="360" w:lineRule="auto"/>
        <w:jc w:val="both"/>
        <w:rPr>
          <w:rFonts w:cstheme="minorHAnsi"/>
          <w:sz w:val="20"/>
          <w:szCs w:val="20"/>
        </w:rPr>
      </w:pPr>
      <w:r w:rsidRPr="006C7800">
        <w:rPr>
          <w:rFonts w:cstheme="minorHAnsi"/>
          <w:sz w:val="20"/>
          <w:szCs w:val="20"/>
        </w:rPr>
        <w:t>Core Inductive Bias: Translation equivariance and local receptive fields for grid</w:t>
      </w:r>
      <w:r w:rsidRPr="006C7800">
        <w:rPr>
          <w:rFonts w:cstheme="minorHAnsi"/>
          <w:sz w:val="20"/>
          <w:szCs w:val="20"/>
        </w:rPr>
        <w:noBreakHyphen/>
        <w:t>structured data.</w:t>
      </w:r>
    </w:p>
    <w:p w:rsidR="00C57922" w:rsidRPr="006C7800" w:rsidRDefault="00C57922" w:rsidP="004D0E2F">
      <w:pPr>
        <w:numPr>
          <w:ilvl w:val="0"/>
          <w:numId w:val="13"/>
        </w:numPr>
        <w:spacing w:after="0" w:line="360" w:lineRule="auto"/>
        <w:jc w:val="both"/>
        <w:rPr>
          <w:rFonts w:cstheme="minorHAnsi"/>
          <w:sz w:val="20"/>
          <w:szCs w:val="20"/>
        </w:rPr>
      </w:pPr>
      <w:r w:rsidRPr="006C7800">
        <w:rPr>
          <w:rFonts w:cstheme="minorHAnsi"/>
          <w:sz w:val="20"/>
          <w:szCs w:val="20"/>
        </w:rPr>
        <w:t>Primary Application: Indispensable for morphology</w:t>
      </w:r>
      <w:r w:rsidRPr="006C7800">
        <w:rPr>
          <w:rFonts w:cstheme="minorHAnsi"/>
          <w:sz w:val="20"/>
          <w:szCs w:val="20"/>
        </w:rPr>
        <w:noBreakHyphen/>
        <w:t>property linkage. Used for segmentation/classification of SEM/TEM/AFM images, analysis of 3D tomography, and extracting features like domain spacing and phase connectivity (e.g., using U</w:t>
      </w:r>
      <w:r w:rsidRPr="006C7800">
        <w:rPr>
          <w:rFonts w:cstheme="minorHAnsi"/>
          <w:sz w:val="20"/>
          <w:szCs w:val="20"/>
        </w:rPr>
        <w:noBreakHyphen/>
        <w:t>Net, ResNet [50,124]).</w:t>
      </w:r>
    </w:p>
    <w:p w:rsidR="00C57922" w:rsidRPr="006C7800" w:rsidRDefault="00C57922" w:rsidP="004D0E2F">
      <w:pPr>
        <w:numPr>
          <w:ilvl w:val="0"/>
          <w:numId w:val="13"/>
        </w:numPr>
        <w:spacing w:after="0" w:line="360" w:lineRule="auto"/>
        <w:jc w:val="both"/>
        <w:rPr>
          <w:rFonts w:cstheme="minorHAnsi"/>
          <w:sz w:val="20"/>
          <w:szCs w:val="20"/>
        </w:rPr>
      </w:pPr>
      <w:r w:rsidRPr="006C7800">
        <w:rPr>
          <w:rFonts w:cstheme="minorHAnsi"/>
          <w:sz w:val="20"/>
          <w:szCs w:val="20"/>
        </w:rPr>
        <w:t>Strengths: Excel at capturing spatial hierarchies, from local textures to global morphological patterns, governing properties like toughness and ionic conductivity.</w:t>
      </w:r>
    </w:p>
    <w:p w:rsidR="00C57922" w:rsidRPr="006C7800" w:rsidRDefault="00C57922" w:rsidP="004D0E2F">
      <w:pPr>
        <w:numPr>
          <w:ilvl w:val="0"/>
          <w:numId w:val="13"/>
        </w:numPr>
        <w:spacing w:after="0" w:line="360" w:lineRule="auto"/>
        <w:jc w:val="both"/>
        <w:rPr>
          <w:rFonts w:cstheme="minorHAnsi"/>
          <w:sz w:val="20"/>
          <w:szCs w:val="20"/>
        </w:rPr>
      </w:pPr>
      <w:r w:rsidRPr="006C7800">
        <w:rPr>
          <w:rFonts w:cstheme="minorHAnsi"/>
          <w:sz w:val="20"/>
          <w:szCs w:val="20"/>
        </w:rPr>
        <w:t>Critical Limitation: Discard explicit chemical connectivity. Cannot reason about monomer identity or bonding. Performance is sensitive to imaging artifacts and requires large, well</w:t>
      </w:r>
      <w:r w:rsidRPr="006C7800">
        <w:rPr>
          <w:rFonts w:cstheme="minorHAnsi"/>
          <w:sz w:val="20"/>
          <w:szCs w:val="20"/>
        </w:rPr>
        <w:noBreakHyphen/>
        <w:t>curated datasets often scarce in polymer science.</w:t>
      </w:r>
    </w:p>
    <w:p w:rsidR="00C57922" w:rsidRPr="006C7800" w:rsidRDefault="00C57922" w:rsidP="004D0E2F">
      <w:pPr>
        <w:numPr>
          <w:ilvl w:val="0"/>
          <w:numId w:val="13"/>
        </w:numPr>
        <w:spacing w:after="0" w:line="360" w:lineRule="auto"/>
        <w:jc w:val="both"/>
        <w:rPr>
          <w:rFonts w:cstheme="minorHAnsi"/>
          <w:sz w:val="20"/>
          <w:szCs w:val="20"/>
        </w:rPr>
      </w:pPr>
      <w:r w:rsidRPr="006C7800">
        <w:rPr>
          <w:rFonts w:cstheme="minorHAnsi"/>
          <w:sz w:val="20"/>
          <w:szCs w:val="20"/>
        </w:rPr>
        <w:t>Conclusion: The architecture of choice for morphology</w:t>
      </w:r>
      <w:r w:rsidRPr="006C7800">
        <w:rPr>
          <w:rFonts w:cstheme="minorHAnsi"/>
          <w:sz w:val="20"/>
          <w:szCs w:val="20"/>
        </w:rPr>
        <w:noBreakHyphen/>
        <w:t>dominant tasks, but misaligned with problems requiring molecular</w:t>
      </w:r>
      <w:r w:rsidRPr="006C7800">
        <w:rPr>
          <w:rFonts w:cstheme="minorHAnsi"/>
          <w:sz w:val="20"/>
          <w:szCs w:val="20"/>
        </w:rPr>
        <w:noBreakHyphen/>
        <w:t>level reasoning.</w:t>
      </w:r>
    </w:p>
    <w:p w:rsidR="00C57922" w:rsidRPr="00B85B57" w:rsidRDefault="00C57922" w:rsidP="00B85B57">
      <w:pPr>
        <w:spacing w:before="240" w:after="0" w:line="360" w:lineRule="auto"/>
        <w:jc w:val="both"/>
        <w:rPr>
          <w:rFonts w:cstheme="minorHAnsi"/>
          <w:b/>
          <w:bCs/>
        </w:rPr>
      </w:pPr>
      <w:r w:rsidRPr="00B85B57">
        <w:rPr>
          <w:rFonts w:cstheme="minorHAnsi"/>
          <w:b/>
          <w:bCs/>
        </w:rPr>
        <w:t>3.3 Recurrent Neural Networks (RNNs): Capturing Temporal and Sequential Dependencies</w:t>
      </w:r>
    </w:p>
    <w:p w:rsidR="00C57922" w:rsidRPr="006C7800" w:rsidRDefault="00C57922" w:rsidP="004D0E2F">
      <w:pPr>
        <w:numPr>
          <w:ilvl w:val="0"/>
          <w:numId w:val="14"/>
        </w:numPr>
        <w:spacing w:after="0" w:line="360" w:lineRule="auto"/>
        <w:jc w:val="both"/>
        <w:rPr>
          <w:rFonts w:cstheme="minorHAnsi"/>
          <w:sz w:val="20"/>
          <w:szCs w:val="20"/>
        </w:rPr>
      </w:pPr>
      <w:r w:rsidRPr="006C7800">
        <w:rPr>
          <w:rFonts w:cstheme="minorHAnsi"/>
          <w:sz w:val="20"/>
          <w:szCs w:val="20"/>
        </w:rPr>
        <w:t>Core Inductive Bias: Sequential processing through hidden states for ordered data [44].</w:t>
      </w:r>
    </w:p>
    <w:p w:rsidR="00C57922" w:rsidRPr="006C7800" w:rsidRDefault="00C57922" w:rsidP="004D0E2F">
      <w:pPr>
        <w:numPr>
          <w:ilvl w:val="0"/>
          <w:numId w:val="14"/>
        </w:numPr>
        <w:spacing w:after="0" w:line="360" w:lineRule="auto"/>
        <w:jc w:val="both"/>
        <w:rPr>
          <w:rFonts w:cstheme="minorHAnsi"/>
          <w:sz w:val="20"/>
          <w:szCs w:val="20"/>
        </w:rPr>
      </w:pPr>
      <w:r w:rsidRPr="006C7800">
        <w:rPr>
          <w:rFonts w:cstheme="minorHAnsi"/>
          <w:sz w:val="20"/>
          <w:szCs w:val="20"/>
        </w:rPr>
        <w:t>Primary Application: Modeling time</w:t>
      </w:r>
      <w:r w:rsidRPr="006C7800">
        <w:rPr>
          <w:rFonts w:cstheme="minorHAnsi"/>
          <w:sz w:val="20"/>
          <w:szCs w:val="20"/>
        </w:rPr>
        <w:noBreakHyphen/>
        <w:t>series data (extrusion profiles, curing kinetics) and medium</w:t>
      </w:r>
      <w:r w:rsidRPr="006C7800">
        <w:rPr>
          <w:rFonts w:cstheme="minorHAnsi"/>
          <w:sz w:val="20"/>
          <w:szCs w:val="20"/>
        </w:rPr>
        <w:noBreakHyphen/>
        <w:t>length sequential data (copolymer sequences, synthesis protocols). LSTMs and GRUs address vanishing gradients for medium</w:t>
      </w:r>
      <w:r w:rsidRPr="006C7800">
        <w:rPr>
          <w:rFonts w:cstheme="minorHAnsi"/>
          <w:sz w:val="20"/>
          <w:szCs w:val="20"/>
        </w:rPr>
        <w:noBreakHyphen/>
        <w:t>range dependencies.</w:t>
      </w:r>
    </w:p>
    <w:p w:rsidR="00C57922" w:rsidRPr="006C7800" w:rsidRDefault="00C57922" w:rsidP="004D0E2F">
      <w:pPr>
        <w:numPr>
          <w:ilvl w:val="0"/>
          <w:numId w:val="14"/>
        </w:numPr>
        <w:spacing w:after="0" w:line="360" w:lineRule="auto"/>
        <w:jc w:val="both"/>
        <w:rPr>
          <w:rFonts w:cstheme="minorHAnsi"/>
          <w:sz w:val="20"/>
          <w:szCs w:val="20"/>
        </w:rPr>
      </w:pPr>
      <w:r w:rsidRPr="006C7800">
        <w:rPr>
          <w:rFonts w:cstheme="minorHAnsi"/>
          <w:sz w:val="20"/>
          <w:szCs w:val="20"/>
        </w:rPr>
        <w:t>Strengths: Naturally handle variable</w:t>
      </w:r>
      <w:r w:rsidRPr="006C7800">
        <w:rPr>
          <w:rFonts w:cstheme="minorHAnsi"/>
          <w:sz w:val="20"/>
          <w:szCs w:val="20"/>
        </w:rPr>
        <w:noBreakHyphen/>
        <w:t>length sequences and temporal dynamics, making them suitable for integrating processing history.</w:t>
      </w:r>
    </w:p>
    <w:p w:rsidR="00C57922" w:rsidRPr="006C7800" w:rsidRDefault="00C57922" w:rsidP="004D0E2F">
      <w:pPr>
        <w:numPr>
          <w:ilvl w:val="0"/>
          <w:numId w:val="14"/>
        </w:numPr>
        <w:spacing w:after="0" w:line="360" w:lineRule="auto"/>
        <w:jc w:val="both"/>
        <w:rPr>
          <w:rFonts w:cstheme="minorHAnsi"/>
          <w:sz w:val="20"/>
          <w:szCs w:val="20"/>
        </w:rPr>
      </w:pPr>
      <w:r w:rsidRPr="006C7800">
        <w:rPr>
          <w:rFonts w:cstheme="minorHAnsi"/>
          <w:sz w:val="20"/>
          <w:szCs w:val="20"/>
        </w:rPr>
        <w:t>Critical Limitation: Sequential processing limits parallelization, making training slow. They struggle with very long sequences (e.g., high</w:t>
      </w:r>
      <w:r w:rsidRPr="006C7800">
        <w:rPr>
          <w:rFonts w:cstheme="minorHAnsi"/>
          <w:sz w:val="20"/>
          <w:szCs w:val="20"/>
        </w:rPr>
        <w:noBreakHyphen/>
        <w:t>DP polymers) and often fail to capture complex long</w:t>
      </w:r>
      <w:r w:rsidRPr="006C7800">
        <w:rPr>
          <w:rFonts w:cstheme="minorHAnsi"/>
          <w:sz w:val="20"/>
          <w:szCs w:val="20"/>
        </w:rPr>
        <w:noBreakHyphen/>
        <w:t>range correlations compared to attention</w:t>
      </w:r>
      <w:r w:rsidRPr="006C7800">
        <w:rPr>
          <w:rFonts w:cstheme="minorHAnsi"/>
          <w:sz w:val="20"/>
          <w:szCs w:val="20"/>
        </w:rPr>
        <w:noBreakHyphen/>
        <w:t>based models.</w:t>
      </w:r>
    </w:p>
    <w:p w:rsidR="00C57922" w:rsidRPr="006C7800" w:rsidRDefault="00C57922" w:rsidP="004D0E2F">
      <w:pPr>
        <w:numPr>
          <w:ilvl w:val="0"/>
          <w:numId w:val="14"/>
        </w:numPr>
        <w:spacing w:after="0" w:line="360" w:lineRule="auto"/>
        <w:jc w:val="both"/>
        <w:rPr>
          <w:rFonts w:cstheme="minorHAnsi"/>
          <w:sz w:val="20"/>
          <w:szCs w:val="20"/>
        </w:rPr>
      </w:pPr>
      <w:r w:rsidRPr="006C7800">
        <w:rPr>
          <w:rFonts w:cstheme="minorHAnsi"/>
          <w:sz w:val="20"/>
          <w:szCs w:val="20"/>
        </w:rPr>
        <w:t>Conclusion: Suitable for processing histories and short sequences, but often superseded by Transformers for complex sequence modeling.</w:t>
      </w:r>
    </w:p>
    <w:p w:rsidR="00C57922" w:rsidRPr="00B85B57" w:rsidRDefault="00C57922" w:rsidP="00B85B57">
      <w:pPr>
        <w:spacing w:before="240" w:after="0" w:line="360" w:lineRule="auto"/>
        <w:jc w:val="both"/>
        <w:rPr>
          <w:rFonts w:cstheme="minorHAnsi"/>
          <w:b/>
          <w:bCs/>
        </w:rPr>
      </w:pPr>
      <w:r w:rsidRPr="00B85B57">
        <w:rPr>
          <w:rFonts w:cstheme="minorHAnsi"/>
          <w:b/>
          <w:bCs/>
        </w:rPr>
        <w:t>3.4 Graph Neural Networks (GNNs): Structural Reasoning at the Molecular Scale</w:t>
      </w:r>
    </w:p>
    <w:p w:rsidR="00C57922" w:rsidRPr="006C7800" w:rsidRDefault="00C57922" w:rsidP="004D0E2F">
      <w:pPr>
        <w:numPr>
          <w:ilvl w:val="0"/>
          <w:numId w:val="15"/>
        </w:numPr>
        <w:spacing w:after="0" w:line="360" w:lineRule="auto"/>
        <w:jc w:val="both"/>
        <w:rPr>
          <w:rFonts w:cstheme="minorHAnsi"/>
          <w:sz w:val="20"/>
          <w:szCs w:val="20"/>
        </w:rPr>
      </w:pPr>
      <w:r w:rsidRPr="00B85B57">
        <w:rPr>
          <w:rFonts w:cstheme="minorHAnsi"/>
          <w:b/>
          <w:bCs/>
          <w:sz w:val="20"/>
          <w:szCs w:val="20"/>
        </w:rPr>
        <w:t>Core Inductive Bias:</w:t>
      </w:r>
      <w:r w:rsidRPr="006C7800">
        <w:rPr>
          <w:rFonts w:cstheme="minorHAnsi"/>
          <w:sz w:val="20"/>
          <w:szCs w:val="20"/>
        </w:rPr>
        <w:t xml:space="preserve"> Relational invariance through message passing over nodes and edges.</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Graph Neural Networks [167] provide a natural, powerful framework for polymer informatics by operating directly on graph-structured data defining macromolecular systems. Foundational graph-convolution approaches [29, 68, 75] laid groundwork for modern GNNs, but direct application to polymers requires extensions handling polydispersity, long-range interactions, and ensemble representations. They accommodate atomistic connectivity, monomer sequence information, coarse-grained interaction networks, and hypergraph representations of branching and topology. This alignment makes GNNs well-suited for learning polymer structure–property relationships.</w:t>
      </w:r>
    </w:p>
    <w:p w:rsidR="00B85B57" w:rsidRPr="00B85B57" w:rsidRDefault="00C57922" w:rsidP="00B85B57">
      <w:pPr>
        <w:spacing w:before="240" w:after="0" w:line="360" w:lineRule="auto"/>
        <w:jc w:val="both"/>
        <w:rPr>
          <w:rFonts w:cstheme="minorHAnsi"/>
          <w:b/>
          <w:bCs/>
        </w:rPr>
      </w:pPr>
      <w:r w:rsidRPr="00B85B57">
        <w:rPr>
          <w:rFonts w:cstheme="minorHAnsi"/>
          <w:b/>
          <w:bCs/>
        </w:rPr>
        <w:t xml:space="preserve">3.4.1 Core Architectural Variants and Their Polymer Relevance </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lastRenderedPageBreak/>
        <w:t>Key GNN variants adapted to address polymer modeling challenges include:</w:t>
      </w:r>
    </w:p>
    <w:p w:rsidR="00C57922" w:rsidRPr="006C7800" w:rsidRDefault="00C57922" w:rsidP="004D0E2F">
      <w:pPr>
        <w:numPr>
          <w:ilvl w:val="0"/>
          <w:numId w:val="16"/>
        </w:numPr>
        <w:spacing w:after="0" w:line="360" w:lineRule="auto"/>
        <w:jc w:val="both"/>
        <w:rPr>
          <w:rFonts w:cstheme="minorHAnsi"/>
          <w:sz w:val="20"/>
          <w:szCs w:val="20"/>
        </w:rPr>
      </w:pPr>
      <w:r w:rsidRPr="006C7800">
        <w:rPr>
          <w:rFonts w:cstheme="minorHAnsi"/>
          <w:sz w:val="20"/>
          <w:szCs w:val="20"/>
        </w:rPr>
        <w:t>Message Passing Graph Neural Networks (MPNNs) [41]: The foundational class, performing iterative local aggregation to model bonded interactions and nearest neighbor chemistry.</w:t>
      </w:r>
    </w:p>
    <w:p w:rsidR="00C57922" w:rsidRPr="006C7800" w:rsidRDefault="00C57922" w:rsidP="004D0E2F">
      <w:pPr>
        <w:numPr>
          <w:ilvl w:val="0"/>
          <w:numId w:val="16"/>
        </w:numPr>
        <w:spacing w:after="0" w:line="360" w:lineRule="auto"/>
        <w:jc w:val="both"/>
        <w:rPr>
          <w:rFonts w:cstheme="minorHAnsi"/>
          <w:sz w:val="20"/>
          <w:szCs w:val="20"/>
        </w:rPr>
      </w:pPr>
      <w:r w:rsidRPr="006C7800">
        <w:rPr>
          <w:rFonts w:cstheme="minorHAnsi"/>
          <w:sz w:val="20"/>
          <w:szCs w:val="20"/>
        </w:rPr>
        <w:t>Graph Attention Networks (GATs) [145]: Introduce learned, importance-weighted neighbor interactions, enabling selective focus on chemically or physically salient environments like block interfaces or heterogeneous copolymer sequences.</w:t>
      </w:r>
    </w:p>
    <w:p w:rsidR="00C57922" w:rsidRPr="006C7800" w:rsidRDefault="00C57922" w:rsidP="004D0E2F">
      <w:pPr>
        <w:numPr>
          <w:ilvl w:val="0"/>
          <w:numId w:val="16"/>
        </w:numPr>
        <w:spacing w:after="0" w:line="360" w:lineRule="auto"/>
        <w:jc w:val="both"/>
        <w:rPr>
          <w:rFonts w:cstheme="minorHAnsi"/>
          <w:sz w:val="20"/>
          <w:szCs w:val="20"/>
        </w:rPr>
      </w:pPr>
      <w:r w:rsidRPr="006C7800">
        <w:rPr>
          <w:rFonts w:cstheme="minorHAnsi"/>
          <w:sz w:val="20"/>
          <w:szCs w:val="20"/>
        </w:rPr>
        <w:t>Equivariant GNNs (e.g., SE(3)-Invariant) [9]: Enforce rotational and translational symmetry, essential for predicting properties derived from 3D conformations, local packing, or simulation trajectories.</w:t>
      </w:r>
    </w:p>
    <w:p w:rsidR="00C57922" w:rsidRPr="006C7800" w:rsidRDefault="00C57922" w:rsidP="004D0E2F">
      <w:pPr>
        <w:numPr>
          <w:ilvl w:val="0"/>
          <w:numId w:val="16"/>
        </w:numPr>
        <w:spacing w:after="0" w:line="360" w:lineRule="auto"/>
        <w:jc w:val="both"/>
        <w:rPr>
          <w:rFonts w:cstheme="minorHAnsi"/>
          <w:sz w:val="20"/>
          <w:szCs w:val="20"/>
        </w:rPr>
      </w:pPr>
      <w:r w:rsidRPr="006C7800">
        <w:rPr>
          <w:rFonts w:cstheme="minorHAnsi"/>
          <w:sz w:val="20"/>
          <w:szCs w:val="20"/>
        </w:rPr>
        <w:t>Polymer Specific Extensions (e.g., PolymerGNN [116]): These move beyond atomistic connectivity by integrating macromolecular statistics directly into the graph's global state. By encoding features like dispersity (Ð) and topology class (e.g., branched vs. linear) as conditioning variables, these models distinguish chemically identical monomers yielding different bulk behaviors due to structural architecture.</w:t>
      </w:r>
    </w:p>
    <w:p w:rsidR="00C57922" w:rsidRPr="006C7800" w:rsidRDefault="00C57922" w:rsidP="004D0E2F">
      <w:pPr>
        <w:spacing w:after="0" w:line="360" w:lineRule="auto"/>
        <w:jc w:val="both"/>
        <w:rPr>
          <w:rFonts w:cstheme="minorHAnsi"/>
          <w:sz w:val="20"/>
          <w:szCs w:val="20"/>
        </w:rPr>
      </w:pPr>
      <w:r w:rsidRPr="00071113">
        <w:rPr>
          <w:rFonts w:cstheme="minorHAnsi"/>
          <w:b/>
          <w:bCs/>
          <w:sz w:val="20"/>
          <w:szCs w:val="20"/>
        </w:rPr>
        <w:t>Synthesis</w:t>
      </w:r>
      <w:r w:rsidRPr="00071113">
        <w:rPr>
          <w:rFonts w:cstheme="minorHAnsi"/>
          <w:sz w:val="20"/>
          <w:szCs w:val="20"/>
        </w:rPr>
        <w:t>:</w:t>
      </w:r>
      <w:r w:rsidRPr="006C7800">
        <w:rPr>
          <w:rFonts w:cstheme="minorHAnsi"/>
          <w:sz w:val="20"/>
          <w:szCs w:val="20"/>
        </w:rPr>
        <w:t xml:space="preserve"> Together, these variants enable GNNs to operate across the full spectrum of polymer representations. By explicitly encoding connectivity, they ensure permutation invariance and relational reasoning, delivering state-of-the-art performance for structure–property prediction tasks where local chemistry and topology dominate. Their flexibility, from atomistic graphs to coarse-grained beads and topological abstractions, makes them broadly applicable across polymer modeling regimes.</w:t>
      </w:r>
    </w:p>
    <w:p w:rsidR="00071113" w:rsidRPr="00071113" w:rsidRDefault="00C57922" w:rsidP="00071113">
      <w:pPr>
        <w:spacing w:before="240" w:after="0" w:line="360" w:lineRule="auto"/>
        <w:jc w:val="both"/>
        <w:rPr>
          <w:rFonts w:cstheme="minorHAnsi"/>
          <w:b/>
          <w:bCs/>
        </w:rPr>
      </w:pPr>
      <w:r w:rsidRPr="00071113">
        <w:rPr>
          <w:rFonts w:cstheme="minorHAnsi"/>
          <w:b/>
          <w:bCs/>
        </w:rPr>
        <w:t xml:space="preserve">3.4.2 Critical Challenges and Emerging Frontiers </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Despite advantages, applying GNNs to polymers exposes structural limitations requiring targeted architectural innovation:</w:t>
      </w:r>
    </w:p>
    <w:p w:rsidR="00C57922" w:rsidRPr="006C7800" w:rsidRDefault="00C57922" w:rsidP="004D0E2F">
      <w:pPr>
        <w:numPr>
          <w:ilvl w:val="0"/>
          <w:numId w:val="17"/>
        </w:numPr>
        <w:spacing w:after="0" w:line="360" w:lineRule="auto"/>
        <w:jc w:val="both"/>
        <w:rPr>
          <w:rFonts w:cstheme="minorHAnsi"/>
          <w:sz w:val="20"/>
          <w:szCs w:val="20"/>
        </w:rPr>
      </w:pPr>
      <w:r w:rsidRPr="006C7800">
        <w:rPr>
          <w:rFonts w:cstheme="minorHAnsi"/>
          <w:sz w:val="20"/>
          <w:szCs w:val="20"/>
        </w:rPr>
        <w:t>The Scalability Bottleneck: Deep Chains and Oversmoothing Standard message passing restricts information flow across long chains or entangled melts. Emerging architectures utilize hierarchical GNNs with learnable coarsening and hybrid GNN-Transformer layers combining local connectivity with global receptive fields.</w:t>
      </w:r>
    </w:p>
    <w:p w:rsidR="00C57922" w:rsidRPr="006C7800" w:rsidRDefault="00C57922" w:rsidP="004D0E2F">
      <w:pPr>
        <w:numPr>
          <w:ilvl w:val="0"/>
          <w:numId w:val="17"/>
        </w:numPr>
        <w:spacing w:after="0" w:line="360" w:lineRule="auto"/>
        <w:jc w:val="both"/>
        <w:rPr>
          <w:rFonts w:cstheme="minorHAnsi"/>
          <w:sz w:val="20"/>
          <w:szCs w:val="20"/>
        </w:rPr>
      </w:pPr>
      <w:r w:rsidRPr="006C7800">
        <w:rPr>
          <w:rFonts w:cstheme="minorHAnsi"/>
          <w:sz w:val="20"/>
          <w:szCs w:val="20"/>
        </w:rPr>
        <w:t>The Ensemble Problem: Polydispersity and Stochasticity Polymer samples are statistical ensembles, yet conventional GNNs are typically deterministic. Transitioning to statistical graph ensemble learning requires generative architectures (VAEs or Normalizing Flows) and explicit conditioning on dispersity (Ð) to represent inherent chain length and branching variability.</w:t>
      </w:r>
    </w:p>
    <w:p w:rsidR="00C57922" w:rsidRPr="006C7800" w:rsidRDefault="00C57922" w:rsidP="004D0E2F">
      <w:pPr>
        <w:numPr>
          <w:ilvl w:val="0"/>
          <w:numId w:val="17"/>
        </w:numPr>
        <w:spacing w:after="0" w:line="360" w:lineRule="auto"/>
        <w:jc w:val="both"/>
        <w:rPr>
          <w:rFonts w:cstheme="minorHAnsi"/>
          <w:sz w:val="20"/>
          <w:szCs w:val="20"/>
        </w:rPr>
      </w:pPr>
      <w:r w:rsidRPr="006C7800">
        <w:rPr>
          <w:rFonts w:cstheme="minorHAnsi"/>
          <w:sz w:val="20"/>
          <w:szCs w:val="20"/>
        </w:rPr>
        <w:t>The Multiscale Interaction Gap: Beyond Local Chemistry Properties emerge from interactions spanning covalent bonds to mesoscale phases. Addressing this requires multimodal graphs with virtual edges for long-range spatial contacts and hypergraph architectures capturing higher-order topological features like crosslinks and junction points.</w:t>
      </w:r>
    </w:p>
    <w:p w:rsidR="00071113" w:rsidRPr="00071113" w:rsidRDefault="00C57922" w:rsidP="00071113">
      <w:pPr>
        <w:spacing w:before="240" w:after="0" w:line="360" w:lineRule="auto"/>
        <w:jc w:val="both"/>
        <w:rPr>
          <w:rFonts w:cstheme="minorHAnsi"/>
          <w:b/>
          <w:bCs/>
        </w:rPr>
      </w:pPr>
      <w:r w:rsidRPr="00071113">
        <w:rPr>
          <w:rFonts w:cstheme="minorHAnsi"/>
          <w:b/>
          <w:bCs/>
        </w:rPr>
        <w:t xml:space="preserve">3.4.3 Outlook: From Static Topology to Dynamic Ensembles </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Polymer GNNs move toward a unified framework treating macromolecules not as static nodes, but as dynamic, evolving systems. Research shifts toward physics-embedded GNNs incorporating differentiable potentials and force-</w:t>
      </w:r>
      <w:r w:rsidRPr="006C7800">
        <w:rPr>
          <w:rFonts w:cstheme="minorHAnsi"/>
          <w:sz w:val="20"/>
          <w:szCs w:val="20"/>
        </w:rPr>
        <w:lastRenderedPageBreak/>
        <w:t>field constraints directly into message-passing updates. Such models learn underlying energy landscapes governing polymer crystallization and self-assembly rather than merely predicting properties. Furthermore, next-generation GNNs must achieve algorithmic efficiency for industrial-scale systems. This involves moving toward sparse, equivariant attention mechanisms reducing computational cost of modeling large, entangled melts while preserving rotational and translational symmetries inherent in 3D polymer morphologies. By bridging local chemical semantics and global thermodynamic behavior, GNNs will solidify their role as the indispensable backbone of autonomous polymer design, reflecting the inherently multiscale, heterogeneous nature of polymeric materials.</w:t>
      </w:r>
    </w:p>
    <w:p w:rsidR="00071113" w:rsidRPr="00071113" w:rsidRDefault="00C57922" w:rsidP="00071113">
      <w:pPr>
        <w:spacing w:before="240" w:after="0" w:line="360" w:lineRule="auto"/>
        <w:jc w:val="both"/>
        <w:rPr>
          <w:rFonts w:cstheme="minorHAnsi"/>
          <w:b/>
          <w:bCs/>
        </w:rPr>
      </w:pPr>
      <w:r w:rsidRPr="00071113">
        <w:rPr>
          <w:rFonts w:cstheme="minorHAnsi"/>
          <w:b/>
          <w:bCs/>
        </w:rPr>
        <w:t xml:space="preserve">3.5 Transformers: Contextual Sequence Modelers for Polymer Languages </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Transformers, based on self-attention, reshaped sequence modeling by capturing arbitrary long-range dependencies without relying on local connectivity or sequential processing. In polymer informatics, they form the backbone of modern “polymer language models”, operating on symbolic encodings like SMILES, BigSMILES, SELFIES, and purpose-built monomer tokenizations. This paradigm treats polymer chemistry as a language, where semantic meaning (material properties) emerges from contextual relationships between monomer “words” within a chain “sentence.” Large</w:t>
      </w:r>
      <w:r w:rsidRPr="006C7800">
        <w:rPr>
          <w:rFonts w:cstheme="minorHAnsi"/>
          <w:sz w:val="20"/>
          <w:szCs w:val="20"/>
        </w:rPr>
        <w:noBreakHyphen/>
        <w:t>scale language</w:t>
      </w:r>
      <w:r w:rsidRPr="006C7800">
        <w:rPr>
          <w:rFonts w:cstheme="minorHAnsi"/>
          <w:sz w:val="20"/>
          <w:szCs w:val="20"/>
        </w:rPr>
        <w:noBreakHyphen/>
        <w:t>model pretraining [13, 19, 122] and protein</w:t>
      </w:r>
      <w:r w:rsidRPr="006C7800">
        <w:rPr>
          <w:rFonts w:cstheme="minorHAnsi"/>
          <w:sz w:val="20"/>
          <w:szCs w:val="20"/>
        </w:rPr>
        <w:noBreakHyphen/>
        <w:t>structure</w:t>
      </w:r>
      <w:r w:rsidRPr="006C7800">
        <w:rPr>
          <w:rFonts w:cstheme="minorHAnsi"/>
          <w:sz w:val="20"/>
          <w:szCs w:val="20"/>
        </w:rPr>
        <w:noBreakHyphen/>
        <w:t>prediction breakthroughs [65] demonstrate the potential of attention</w:t>
      </w:r>
      <w:r w:rsidRPr="006C7800">
        <w:rPr>
          <w:rFonts w:cstheme="minorHAnsi"/>
          <w:sz w:val="20"/>
          <w:szCs w:val="20"/>
        </w:rPr>
        <w:noBreakHyphen/>
        <w:t>based models for capturing complex sequence–structure relationships.</w:t>
      </w:r>
    </w:p>
    <w:p w:rsidR="00071113" w:rsidRPr="00071113" w:rsidRDefault="00C57922" w:rsidP="00071113">
      <w:pPr>
        <w:spacing w:before="240" w:after="0" w:line="360" w:lineRule="auto"/>
        <w:jc w:val="both"/>
        <w:rPr>
          <w:rFonts w:cstheme="minorHAnsi"/>
          <w:b/>
          <w:bCs/>
        </w:rPr>
      </w:pPr>
      <w:r w:rsidRPr="00071113">
        <w:rPr>
          <w:rFonts w:cstheme="minorHAnsi"/>
          <w:b/>
          <w:bCs/>
        </w:rPr>
        <w:t xml:space="preserve">3.5.1 Core Architecture and Polymer Relevance </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The Transformer's relevance to polymers stems from its global receptive field and ability to learn context-aware representations:</w:t>
      </w:r>
    </w:p>
    <w:p w:rsidR="00C57922" w:rsidRPr="006C7800" w:rsidRDefault="00071113" w:rsidP="004D0E2F">
      <w:pPr>
        <w:numPr>
          <w:ilvl w:val="0"/>
          <w:numId w:val="18"/>
        </w:numPr>
        <w:spacing w:after="0" w:line="360" w:lineRule="auto"/>
        <w:jc w:val="both"/>
        <w:rPr>
          <w:rFonts w:cstheme="minorHAnsi"/>
          <w:sz w:val="20"/>
          <w:szCs w:val="20"/>
        </w:rPr>
      </w:pPr>
      <w:r w:rsidRPr="006C7800">
        <w:rPr>
          <w:rFonts w:cstheme="minorHAnsi"/>
          <w:sz w:val="20"/>
          <w:szCs w:val="20"/>
        </w:rPr>
        <w:t>Self-Attention</w:t>
      </w:r>
      <w:r w:rsidR="00C57922" w:rsidRPr="006C7800">
        <w:rPr>
          <w:rFonts w:cstheme="minorHAnsi"/>
          <w:sz w:val="20"/>
          <w:szCs w:val="20"/>
        </w:rPr>
        <w:t xml:space="preserve"> [144]: Allows any token in a sequence (e.g., a monomer unit) to attend to any other token, capturing non-local sequence effects essential for copolymers, including blockiness, gradient structures, and long-range functional group interactions.</w:t>
      </w:r>
    </w:p>
    <w:p w:rsidR="00C57922" w:rsidRPr="006C7800" w:rsidRDefault="00C57922" w:rsidP="004D0E2F">
      <w:pPr>
        <w:numPr>
          <w:ilvl w:val="0"/>
          <w:numId w:val="18"/>
        </w:numPr>
        <w:spacing w:after="0" w:line="360" w:lineRule="auto"/>
        <w:jc w:val="both"/>
        <w:rPr>
          <w:rFonts w:cstheme="minorHAnsi"/>
          <w:sz w:val="20"/>
          <w:szCs w:val="20"/>
        </w:rPr>
      </w:pPr>
      <w:r w:rsidRPr="006C7800">
        <w:rPr>
          <w:rFonts w:cstheme="minorHAnsi"/>
          <w:sz w:val="20"/>
          <w:szCs w:val="20"/>
        </w:rPr>
        <w:t>Positional Encoding: Injects information about monomer order, enabling models to distinguish sequence isomers (e.g., A–B–A vs. A–A–B) and learn sequence–property relationships.</w:t>
      </w:r>
    </w:p>
    <w:p w:rsidR="00C57922" w:rsidRPr="006C7800" w:rsidRDefault="00C57922" w:rsidP="004D0E2F">
      <w:pPr>
        <w:numPr>
          <w:ilvl w:val="0"/>
          <w:numId w:val="18"/>
        </w:numPr>
        <w:spacing w:after="0" w:line="360" w:lineRule="auto"/>
        <w:jc w:val="both"/>
        <w:rPr>
          <w:rFonts w:cstheme="minorHAnsi"/>
          <w:sz w:val="20"/>
          <w:szCs w:val="20"/>
        </w:rPr>
      </w:pPr>
      <w:r w:rsidRPr="006C7800">
        <w:rPr>
          <w:rFonts w:cstheme="minorHAnsi"/>
          <w:sz w:val="20"/>
          <w:szCs w:val="20"/>
        </w:rPr>
        <w:t>Pretraining and Transfer Learning: Masked Language Modeling (MLM) [19,25,32] pretraining on large unlabeled polymer corpora yields general-purpose chemical representations fine-tunable for property prediction, advantageous where labeled data are scarce but structural databases are abundant.</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Transformers offer unmatched ability to model long-range, sequence-dependent effects across entire chains, enabling high-fidelity sequence–property predictions and generative design of sequence-controlled architectures. Beyond prediction, they are used for large-scale pretraining to extract chemical semantics and attention-based interpretability, helping identify sequence motifs driving bulk performance. This framework suits inverse design of complex, sequence-defined polymers where local message-passing architectures often fail.</w:t>
      </w:r>
    </w:p>
    <w:p w:rsidR="00071113" w:rsidRPr="00071113" w:rsidRDefault="00C57922" w:rsidP="00071113">
      <w:pPr>
        <w:spacing w:before="240" w:after="0" w:line="360" w:lineRule="auto"/>
        <w:jc w:val="both"/>
        <w:rPr>
          <w:rFonts w:cstheme="minorHAnsi"/>
          <w:b/>
          <w:bCs/>
        </w:rPr>
      </w:pPr>
      <w:r w:rsidRPr="00071113">
        <w:rPr>
          <w:rFonts w:cstheme="minorHAnsi"/>
          <w:b/>
          <w:bCs/>
        </w:rPr>
        <w:t xml:space="preserve">3.5.2 Critical Challenges and Emerging Research Directions </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lastRenderedPageBreak/>
        <w:t>Applying Transformers to polymers introduces challenges rooted in differences between polymer sequences and natural language.</w:t>
      </w:r>
    </w:p>
    <w:p w:rsidR="00C57922" w:rsidRPr="006C7800" w:rsidRDefault="00C57922" w:rsidP="004D0E2F">
      <w:pPr>
        <w:spacing w:after="0" w:line="360" w:lineRule="auto"/>
        <w:jc w:val="both"/>
        <w:rPr>
          <w:rFonts w:cstheme="minorHAnsi"/>
          <w:sz w:val="20"/>
          <w:szCs w:val="20"/>
        </w:rPr>
      </w:pPr>
      <w:r w:rsidRPr="00921142">
        <w:rPr>
          <w:rFonts w:cstheme="minorHAnsi"/>
          <w:b/>
          <w:bCs/>
          <w:sz w:val="20"/>
          <w:szCs w:val="20"/>
        </w:rPr>
        <w:t>a) The Syntax–Semantics Mismatch</w:t>
      </w:r>
      <w:r w:rsidRPr="006C7800">
        <w:rPr>
          <w:rFonts w:cstheme="minorHAnsi"/>
          <w:sz w:val="20"/>
          <w:szCs w:val="20"/>
        </w:rPr>
        <w:t>: From Strings to Physics Symbolic encodings like SMILES or BigSMILES are lossy abstractions. A single sequence string cannot capture molecular weight distributions, conformational ensembles, or multi-chain morphologies governing most polymer properties. Addressing this requires multimodal architectures pairing a sequence Transformer with a GNN or graph Transformer branch operating on coarse-grained or conformational data, and conditional generation models incorporating dispersity or topology as control variables.</w:t>
      </w:r>
    </w:p>
    <w:p w:rsidR="00C57922" w:rsidRPr="006C7800" w:rsidRDefault="00C57922" w:rsidP="004D0E2F">
      <w:pPr>
        <w:spacing w:after="0" w:line="360" w:lineRule="auto"/>
        <w:jc w:val="both"/>
        <w:rPr>
          <w:rFonts w:cstheme="minorHAnsi"/>
          <w:sz w:val="20"/>
          <w:szCs w:val="20"/>
        </w:rPr>
      </w:pPr>
      <w:r w:rsidRPr="00921142">
        <w:rPr>
          <w:rFonts w:cstheme="minorHAnsi"/>
          <w:b/>
          <w:bCs/>
          <w:sz w:val="20"/>
          <w:szCs w:val="20"/>
        </w:rPr>
        <w:t>b) The Repetition and Scale Problem</w:t>
      </w:r>
      <w:r w:rsidR="00921142" w:rsidRPr="00921142">
        <w:rPr>
          <w:rFonts w:cstheme="minorHAnsi"/>
          <w:b/>
          <w:bCs/>
          <w:sz w:val="20"/>
          <w:szCs w:val="20"/>
        </w:rPr>
        <w:t>:</w:t>
      </w:r>
      <w:r w:rsidRPr="006C7800">
        <w:rPr>
          <w:rFonts w:cstheme="minorHAnsi"/>
          <w:sz w:val="20"/>
          <w:szCs w:val="20"/>
        </w:rPr>
        <w:t xml:space="preserve"> Polymer sequences are long, repetitive, and inherently statistical. Standard tokenization is inefficient, and quadratic complexity of self-attention becomes prohibitive for high DP chains. Solutions include hierarchical or memory-efficient Transformers (e.g., Linformer, Performer), learned tokenization strategies representing blocks or motifs rather than individual monomers, and architectures processing sets or distributions of chains to reflect a sample’s molecular weight distribution.</w:t>
      </w:r>
    </w:p>
    <w:p w:rsidR="00C57922" w:rsidRPr="006C7800" w:rsidRDefault="00C57922" w:rsidP="004D0E2F">
      <w:pPr>
        <w:spacing w:after="0" w:line="360" w:lineRule="auto"/>
        <w:jc w:val="both"/>
        <w:rPr>
          <w:rFonts w:cstheme="minorHAnsi"/>
          <w:sz w:val="20"/>
          <w:szCs w:val="20"/>
        </w:rPr>
      </w:pPr>
      <w:r w:rsidRPr="00921142">
        <w:rPr>
          <w:rFonts w:cstheme="minorHAnsi"/>
          <w:b/>
          <w:bCs/>
          <w:sz w:val="20"/>
          <w:szCs w:val="20"/>
        </w:rPr>
        <w:t>c) The Lack of In</w:t>
      </w:r>
      <w:r w:rsidR="00921142" w:rsidRPr="00921142">
        <w:rPr>
          <w:rFonts w:cstheme="minorHAnsi"/>
          <w:b/>
          <w:bCs/>
          <w:sz w:val="20"/>
          <w:szCs w:val="20"/>
        </w:rPr>
        <w:t>trinsic Chemical Inductive Bias:</w:t>
      </w:r>
      <w:r w:rsidR="00921142">
        <w:rPr>
          <w:rFonts w:cstheme="minorHAnsi"/>
          <w:sz w:val="20"/>
          <w:szCs w:val="20"/>
        </w:rPr>
        <w:t xml:space="preserve"> </w:t>
      </w:r>
      <w:r w:rsidRPr="006C7800">
        <w:rPr>
          <w:rFonts w:cstheme="minorHAnsi"/>
          <w:sz w:val="20"/>
          <w:szCs w:val="20"/>
        </w:rPr>
        <w:t>Unlike GNNs, which encode molecular connectivity by design, Transformers begin without chemical priors and must learn valence, stability, and structural validity from data alone. This motivates syntax-constrained decoding (e.g., SELFIES), hybrid models where a Transformer proposes sequences validated/refined by a GNN-based physics module, and architectures incorporating physical priors like invariances or stability constraints.</w:t>
      </w:r>
    </w:p>
    <w:p w:rsidR="00921142" w:rsidRPr="00921142" w:rsidRDefault="00C57922" w:rsidP="00921142">
      <w:pPr>
        <w:spacing w:before="240" w:after="0" w:line="360" w:lineRule="auto"/>
        <w:jc w:val="both"/>
        <w:rPr>
          <w:rFonts w:cstheme="minorHAnsi"/>
          <w:b/>
          <w:bCs/>
        </w:rPr>
      </w:pPr>
      <w:r w:rsidRPr="00921142">
        <w:rPr>
          <w:rFonts w:cstheme="minorHAnsi"/>
          <w:b/>
          <w:bCs/>
        </w:rPr>
        <w:t xml:space="preserve">3.5.3 Outlook: A Complementary Paradigm </w:t>
      </w:r>
    </w:p>
    <w:p w:rsidR="00C57922" w:rsidRDefault="00C57922" w:rsidP="002C665D">
      <w:pPr>
        <w:spacing w:line="360" w:lineRule="auto"/>
        <w:jc w:val="both"/>
        <w:rPr>
          <w:rFonts w:cstheme="minorHAnsi"/>
          <w:sz w:val="20"/>
          <w:szCs w:val="20"/>
        </w:rPr>
      </w:pPr>
      <w:r w:rsidRPr="006C7800">
        <w:rPr>
          <w:rFonts w:cstheme="minorHAnsi"/>
          <w:sz w:val="20"/>
          <w:szCs w:val="20"/>
        </w:rPr>
        <w:t>Transformers excel as contextual sequence modelers when behavior is governed by sequence semantics and functional group placement, while GNNs dominate when local connectivity and spatial topology are central. Powerful next-generation models evolve toward Graph Transformers, unifying these paradigms by applying global self-attention directly to graph-structured molecular data. Unlike traditional GNNs suffering "over-squashing" information across long chains, Graph Transformers utilize structural and spatial encodings to maintain a global receptive field without losing chemical bond constraints. Furthermore, integrating Equivariant Graph Transformers [37] offers a path toward reasoning about the 3D conformational ensemble implied by a sequence. By explicitly accounting for symmetries in 3D space (rotational and translational invariance), these hybrid architectures bridge the gap between the language of synthesis (SMILES/sequences) and the physics of performance (3D morphology and thermodynamics). This synergy enables modeling complex phenomena like protein-mimetic folding in synthetic polymers and hierarchical self-assembly of block copolymers (see Table 5).</w:t>
      </w:r>
    </w:p>
    <w:tbl>
      <w:tblPr>
        <w:tblStyle w:val="PlainTable1"/>
        <w:tblW w:w="0" w:type="auto"/>
        <w:tblLook w:val="04A0" w:firstRow="1" w:lastRow="0" w:firstColumn="1" w:lastColumn="0" w:noHBand="0" w:noVBand="1"/>
      </w:tblPr>
      <w:tblGrid>
        <w:gridCol w:w="1318"/>
        <w:gridCol w:w="2460"/>
        <w:gridCol w:w="1665"/>
        <w:gridCol w:w="2118"/>
        <w:gridCol w:w="1789"/>
      </w:tblGrid>
      <w:tr w:rsidR="002C665D" w:rsidRPr="002C665D" w:rsidTr="00F02B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C665D" w:rsidRPr="002C665D" w:rsidRDefault="002C665D" w:rsidP="002C665D">
            <w:pPr>
              <w:spacing w:line="276" w:lineRule="auto"/>
              <w:jc w:val="center"/>
              <w:rPr>
                <w:rFonts w:eastAsia="Times New Roman" w:cstheme="minorHAnsi"/>
                <w:sz w:val="20"/>
                <w:szCs w:val="20"/>
              </w:rPr>
            </w:pPr>
            <w:r w:rsidRPr="002C665D">
              <w:rPr>
                <w:rFonts w:eastAsia="Times New Roman" w:cstheme="minorHAnsi"/>
                <w:sz w:val="20"/>
                <w:szCs w:val="20"/>
              </w:rPr>
              <w:t>Architecture </w:t>
            </w:r>
          </w:p>
        </w:tc>
        <w:tc>
          <w:tcPr>
            <w:tcW w:w="0" w:type="auto"/>
            <w:hideMark/>
          </w:tcPr>
          <w:p w:rsidR="002C665D" w:rsidRPr="002C665D" w:rsidRDefault="002C665D" w:rsidP="002C665D">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Primary Data Representation</w:t>
            </w:r>
          </w:p>
        </w:tc>
        <w:tc>
          <w:tcPr>
            <w:tcW w:w="0" w:type="auto"/>
            <w:hideMark/>
          </w:tcPr>
          <w:p w:rsidR="002C665D" w:rsidRPr="002C665D" w:rsidRDefault="002C665D" w:rsidP="002C665D">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Inductive Bias</w:t>
            </w:r>
          </w:p>
        </w:tc>
        <w:tc>
          <w:tcPr>
            <w:tcW w:w="0" w:type="auto"/>
            <w:hideMark/>
          </w:tcPr>
          <w:p w:rsidR="002C665D" w:rsidRPr="002C665D" w:rsidRDefault="002C665D" w:rsidP="002C665D">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Key Strength in Polymers</w:t>
            </w:r>
          </w:p>
        </w:tc>
        <w:tc>
          <w:tcPr>
            <w:tcW w:w="0" w:type="auto"/>
            <w:hideMark/>
          </w:tcPr>
          <w:p w:rsidR="002C665D" w:rsidRPr="002C665D" w:rsidRDefault="002C665D" w:rsidP="002C665D">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Limitation in Polymers</w:t>
            </w:r>
          </w:p>
        </w:tc>
      </w:tr>
      <w:tr w:rsidR="002C665D" w:rsidRPr="002C665D" w:rsidTr="00F02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C665D" w:rsidRPr="002C665D" w:rsidRDefault="002C665D" w:rsidP="002C665D">
            <w:pPr>
              <w:spacing w:line="276" w:lineRule="auto"/>
              <w:rPr>
                <w:rFonts w:eastAsia="Times New Roman" w:cstheme="minorHAnsi"/>
                <w:sz w:val="20"/>
                <w:szCs w:val="20"/>
              </w:rPr>
            </w:pPr>
            <w:r w:rsidRPr="002C665D">
              <w:rPr>
                <w:rFonts w:eastAsia="Times New Roman" w:cstheme="minorHAnsi"/>
                <w:sz w:val="20"/>
                <w:szCs w:val="20"/>
              </w:rPr>
              <w:t>GNN</w:t>
            </w:r>
          </w:p>
        </w:tc>
        <w:tc>
          <w:tcPr>
            <w:tcW w:w="0" w:type="auto"/>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Graph (Nodes=Atoms/Monomers)</w:t>
            </w:r>
          </w:p>
        </w:tc>
        <w:tc>
          <w:tcPr>
            <w:tcW w:w="0" w:type="auto"/>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Locality/Message Passing (Bonds matter most)</w:t>
            </w:r>
          </w:p>
        </w:tc>
        <w:tc>
          <w:tcPr>
            <w:tcW w:w="0" w:type="auto"/>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 xml:space="preserve">Excellent at capturing local connectivity, topology, and spatial </w:t>
            </w:r>
            <w:r w:rsidRPr="002C665D">
              <w:rPr>
                <w:rFonts w:eastAsia="Times New Roman" w:cstheme="minorHAnsi"/>
                <w:sz w:val="20"/>
                <w:szCs w:val="20"/>
              </w:rPr>
              <w:lastRenderedPageBreak/>
              <w:t>structure. Effective with smaller datasets.</w:t>
            </w:r>
          </w:p>
        </w:tc>
        <w:tc>
          <w:tcPr>
            <w:tcW w:w="0" w:type="auto"/>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lastRenderedPageBreak/>
              <w:t xml:space="preserve">Struggles with long-range interactions ("over-squashing") </w:t>
            </w:r>
            <w:r w:rsidRPr="002C665D">
              <w:rPr>
                <w:rFonts w:eastAsia="Times New Roman" w:cstheme="minorHAnsi"/>
                <w:sz w:val="20"/>
                <w:szCs w:val="20"/>
              </w:rPr>
              <w:lastRenderedPageBreak/>
              <w:t>and information flow across long chains.</w:t>
            </w:r>
          </w:p>
        </w:tc>
      </w:tr>
      <w:tr w:rsidR="002C665D" w:rsidRPr="002C665D" w:rsidTr="00F02B89">
        <w:tc>
          <w:tcPr>
            <w:cnfStyle w:val="001000000000" w:firstRow="0" w:lastRow="0" w:firstColumn="1" w:lastColumn="0" w:oddVBand="0" w:evenVBand="0" w:oddHBand="0" w:evenHBand="0" w:firstRowFirstColumn="0" w:firstRowLastColumn="0" w:lastRowFirstColumn="0" w:lastRowLastColumn="0"/>
            <w:tcW w:w="0" w:type="auto"/>
            <w:hideMark/>
          </w:tcPr>
          <w:p w:rsidR="002C665D" w:rsidRPr="002C665D" w:rsidRDefault="002C665D" w:rsidP="002C665D">
            <w:pPr>
              <w:spacing w:line="276" w:lineRule="auto"/>
              <w:rPr>
                <w:rFonts w:eastAsia="Times New Roman" w:cstheme="minorHAnsi"/>
                <w:sz w:val="20"/>
                <w:szCs w:val="20"/>
              </w:rPr>
            </w:pPr>
            <w:r w:rsidRPr="002C665D">
              <w:rPr>
                <w:rFonts w:eastAsia="Times New Roman" w:cstheme="minorHAnsi"/>
                <w:sz w:val="20"/>
                <w:szCs w:val="20"/>
              </w:rPr>
              <w:lastRenderedPageBreak/>
              <w:t>Transformer</w:t>
            </w:r>
          </w:p>
        </w:tc>
        <w:tc>
          <w:tcPr>
            <w:tcW w:w="0" w:type="auto"/>
            <w:hideMark/>
          </w:tcPr>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Sequence (SMILES/Text)</w:t>
            </w:r>
          </w:p>
        </w:tc>
        <w:tc>
          <w:tcPr>
            <w:tcW w:w="0" w:type="auto"/>
            <w:hideMark/>
          </w:tcPr>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Sequence Order/Global Attention</w:t>
            </w:r>
          </w:p>
        </w:tc>
        <w:tc>
          <w:tcPr>
            <w:tcW w:w="0" w:type="auto"/>
            <w:hideMark/>
          </w:tcPr>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Excels at modeling long-range, sequence-dependent effects, blockiness, and sequence semantics.</w:t>
            </w:r>
          </w:p>
        </w:tc>
        <w:tc>
          <w:tcPr>
            <w:tcW w:w="0" w:type="auto"/>
            <w:hideMark/>
          </w:tcPr>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Ignores inherent graph structure/physical 3D constraints; treats polymers as purely linear text.</w:t>
            </w:r>
          </w:p>
        </w:tc>
      </w:tr>
      <w:tr w:rsidR="002C665D" w:rsidRPr="002C665D" w:rsidTr="00F02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C665D" w:rsidRPr="002C665D" w:rsidRDefault="002C665D" w:rsidP="002C665D">
            <w:pPr>
              <w:spacing w:line="276" w:lineRule="auto"/>
              <w:rPr>
                <w:rFonts w:eastAsia="Times New Roman" w:cstheme="minorHAnsi"/>
                <w:sz w:val="20"/>
                <w:szCs w:val="20"/>
              </w:rPr>
            </w:pPr>
            <w:r w:rsidRPr="002C665D">
              <w:rPr>
                <w:rFonts w:eastAsia="Times New Roman" w:cstheme="minorHAnsi"/>
                <w:sz w:val="20"/>
                <w:szCs w:val="20"/>
              </w:rPr>
              <w:t>Graph Transformer</w:t>
            </w:r>
          </w:p>
        </w:tc>
        <w:tc>
          <w:tcPr>
            <w:tcW w:w="0" w:type="auto"/>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Graph with Structural Encoding</w:t>
            </w:r>
          </w:p>
        </w:tc>
        <w:tc>
          <w:tcPr>
            <w:tcW w:w="0" w:type="auto"/>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Global Attention + Graph Structure</w:t>
            </w:r>
          </w:p>
        </w:tc>
        <w:tc>
          <w:tcPr>
            <w:tcW w:w="0" w:type="auto"/>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Combines local structure with global context; avoids "over-squashing" and models multiscale interactions.</w:t>
            </w:r>
          </w:p>
        </w:tc>
        <w:tc>
          <w:tcPr>
            <w:tcW w:w="0" w:type="auto"/>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 xml:space="preserve">High computational complexity </w:t>
            </w:r>
            <w:r w:rsidRPr="002C665D">
              <w:rPr>
                <w:rFonts w:ascii="Cambria Math" w:eastAsia="Times New Roman" w:hAnsi="Cambria Math" w:cs="Cambria Math"/>
                <w:sz w:val="20"/>
                <w:szCs w:val="20"/>
              </w:rPr>
              <w:t>𝑂</w:t>
            </w:r>
            <w:r w:rsidRPr="002C665D">
              <w:rPr>
                <w:rFonts w:eastAsia="Times New Roman" w:cstheme="minorHAnsi"/>
                <w:sz w:val="20"/>
                <w:szCs w:val="20"/>
              </w:rPr>
              <w:t>(</w:t>
            </w:r>
            <w:r w:rsidRPr="002C665D">
              <w:rPr>
                <w:rFonts w:ascii="Cambria Math" w:eastAsia="Times New Roman" w:hAnsi="Cambria Math" w:cs="Cambria Math"/>
                <w:sz w:val="20"/>
                <w:szCs w:val="20"/>
              </w:rPr>
              <w:t>𝑁</w:t>
            </w:r>
            <w:r w:rsidRPr="002C665D">
              <w:rPr>
                <w:rFonts w:eastAsia="Times New Roman" w:cstheme="minorHAnsi"/>
                <w:sz w:val="20"/>
                <w:szCs w:val="20"/>
                <w:vertAlign w:val="superscript"/>
              </w:rPr>
              <w:t>2</w:t>
            </w:r>
            <w:r w:rsidRPr="002C665D">
              <w:rPr>
                <w:rFonts w:eastAsia="Times New Roman" w:cstheme="minorHAnsi"/>
                <w:sz w:val="20"/>
                <w:szCs w:val="20"/>
              </w:rPr>
              <w:t>)</w:t>
            </w:r>
          </w:p>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attention) and requires careful design of structural encodings.</w:t>
            </w:r>
          </w:p>
        </w:tc>
      </w:tr>
      <w:tr w:rsidR="002C665D" w:rsidRPr="002C665D" w:rsidTr="00F02B89">
        <w:tc>
          <w:tcPr>
            <w:cnfStyle w:val="001000000000" w:firstRow="0" w:lastRow="0" w:firstColumn="1" w:lastColumn="0" w:oddVBand="0" w:evenVBand="0" w:oddHBand="0" w:evenHBand="0" w:firstRowFirstColumn="0" w:firstRowLastColumn="0" w:lastRowFirstColumn="0" w:lastRowLastColumn="0"/>
            <w:tcW w:w="0" w:type="auto"/>
            <w:hideMark/>
          </w:tcPr>
          <w:p w:rsidR="002C665D" w:rsidRPr="002C665D" w:rsidRDefault="002C665D" w:rsidP="002C665D">
            <w:pPr>
              <w:spacing w:line="276" w:lineRule="auto"/>
              <w:rPr>
                <w:rFonts w:eastAsia="Times New Roman" w:cstheme="minorHAnsi"/>
                <w:sz w:val="20"/>
                <w:szCs w:val="20"/>
              </w:rPr>
            </w:pPr>
            <w:r w:rsidRPr="002C665D">
              <w:rPr>
                <w:rFonts w:eastAsia="Times New Roman" w:cstheme="minorHAnsi"/>
                <w:sz w:val="20"/>
                <w:szCs w:val="20"/>
              </w:rPr>
              <w:t>Equivariant Graph Transformer</w:t>
            </w:r>
          </w:p>
        </w:tc>
        <w:tc>
          <w:tcPr>
            <w:tcW w:w="0" w:type="auto"/>
            <w:hideMark/>
          </w:tcPr>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3D Point Cloud / Geometric Graph</w:t>
            </w:r>
          </w:p>
        </w:tc>
        <w:tc>
          <w:tcPr>
            <w:tcW w:w="0" w:type="auto"/>
            <w:hideMark/>
          </w:tcPr>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E(3) or SE(3) Equivariance (Symmetry-aware)</w:t>
            </w:r>
          </w:p>
        </w:tc>
        <w:tc>
          <w:tcPr>
            <w:tcW w:w="0" w:type="auto"/>
            <w:hideMark/>
          </w:tcPr>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Models 3D conformations and folded morphologies while respecting physical symmetries (rotation/translation).</w:t>
            </w:r>
          </w:p>
        </w:tc>
        <w:tc>
          <w:tcPr>
            <w:tcW w:w="0" w:type="auto"/>
            <w:hideMark/>
          </w:tcPr>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Extremely high computational cost and sensitive to the quality of 3D training coordinates.</w:t>
            </w:r>
          </w:p>
        </w:tc>
      </w:tr>
    </w:tbl>
    <w:p w:rsidR="002C665D" w:rsidRPr="006C7800" w:rsidRDefault="002C665D" w:rsidP="004D0E2F">
      <w:pPr>
        <w:spacing w:after="0" w:line="360" w:lineRule="auto"/>
        <w:jc w:val="both"/>
        <w:rPr>
          <w:rFonts w:cstheme="minorHAnsi"/>
          <w:sz w:val="20"/>
          <w:szCs w:val="20"/>
        </w:rPr>
      </w:pPr>
      <w:r w:rsidRPr="00DE4DC4">
        <w:rPr>
          <w:rFonts w:asciiTheme="majorBidi" w:hAnsiTheme="majorBidi" w:cstheme="majorBidi"/>
          <w:noProof/>
        </w:rPr>
        <mc:AlternateContent>
          <mc:Choice Requires="wps">
            <w:drawing>
              <wp:anchor distT="0" distB="0" distL="114300" distR="114300" simplePos="0" relativeHeight="251673600" behindDoc="0" locked="0" layoutInCell="1" allowOverlap="1" wp14:anchorId="65B08445" wp14:editId="3FCF4666">
                <wp:simplePos x="0" y="0"/>
                <wp:positionH relativeFrom="margin">
                  <wp:posOffset>-38100</wp:posOffset>
                </wp:positionH>
                <wp:positionV relativeFrom="paragraph">
                  <wp:posOffset>69850</wp:posOffset>
                </wp:positionV>
                <wp:extent cx="5969285" cy="581025"/>
                <wp:effectExtent l="0" t="0" r="0" b="9525"/>
                <wp:wrapNone/>
                <wp:docPr id="34" name="Text Box 34"/>
                <wp:cNvGraphicFramePr/>
                <a:graphic xmlns:a="http://schemas.openxmlformats.org/drawingml/2006/main">
                  <a:graphicData uri="http://schemas.microsoft.com/office/word/2010/wordprocessingShape">
                    <wps:wsp>
                      <wps:cNvSpPr txBox="1"/>
                      <wps:spPr>
                        <a:xfrm>
                          <a:off x="0" y="0"/>
                          <a:ext cx="5969285" cy="581025"/>
                        </a:xfrm>
                        <a:prstGeom prst="rect">
                          <a:avLst/>
                        </a:prstGeom>
                        <a:solidFill>
                          <a:schemeClr val="lt1"/>
                        </a:solidFill>
                        <a:ln w="6350">
                          <a:noFill/>
                        </a:ln>
                      </wps:spPr>
                      <wps:txbx>
                        <w:txbxContent>
                          <w:p w:rsidR="005562ED" w:rsidRPr="002C665D" w:rsidRDefault="005562ED" w:rsidP="002C665D">
                            <w:pPr>
                              <w:rPr>
                                <w:rFonts w:cstheme="minorHAnsi"/>
                                <w:sz w:val="18"/>
                                <w:szCs w:val="18"/>
                              </w:rPr>
                            </w:pPr>
                            <w:r w:rsidRPr="002C665D">
                              <w:rPr>
                                <w:rFonts w:cstheme="minorHAnsi"/>
                                <w:b/>
                                <w:bCs/>
                                <w:sz w:val="18"/>
                                <w:szCs w:val="18"/>
                              </w:rPr>
                              <w:t>Table 5.</w:t>
                            </w:r>
                            <w:r w:rsidRPr="002C665D">
                              <w:rPr>
                                <w:rFonts w:cstheme="minorHAnsi"/>
                                <w:sz w:val="18"/>
                                <w:szCs w:val="18"/>
                              </w:rPr>
                              <w:t xml:space="preserve"> Comparative analysis of Transformer and Graph Neural Network architectures for polymer informatics, categorized by their data representations, architectural biases, and their ability to capture the hierarchical nature of macromolecular systems.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B08445" id="Text Box 34" o:spid="_x0000_s1032" type="#_x0000_t202" style="position:absolute;left:0;text-align:left;margin-left:-3pt;margin-top:5.5pt;width:470pt;height:45.75pt;z-index:2516736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4McRgIAAIIEAAAOAAAAZHJzL2Uyb0RvYy54bWysVMGO2jAQvVfqP1i+lwSWUECEFWVFVWm1&#10;uxJUezaOQyLZHtc2JPTrO3YIS7c9Vb2Y8czkeea9GRb3rZLkJKyrQed0OEgpEZpDUetDTr/vNp+m&#10;lDjPdMEkaJHTs3D0fvnxw6IxczGCCmQhLEEQ7eaNyWnlvZknieOVUMwNwAiNwRKsYh6v9pAUljWI&#10;rmQyStNJ0oAtjAUunEPvQxeky4hfloL757J0whOZU6zNx9PGcx/OZLlg84Nlpqr5pQz2D1UoVmt8&#10;9Ar1wDwjR1v/AaVqbsFB6QccVAJlWXMRe8Buhum7brYVMyL2guQ4c6XJ/T9Y/nR6saQucno3pkQz&#10;hRrtROvJF2gJupCfxrg5pm0NJvoW/ahz73foDG23pVXhFxsiGEemz1d2AxpHZzabzEbTjBKOsWw6&#10;TEdZgEnevjbW+a8CFAlGTi2qF0llp0fnu9Q+JTzmQNbFppYyXsLEiLW05MRQa+ljjQj+W5bUpMnp&#10;5C5LI7CG8HmHLDXWEnrtegqWb/dt5GbS97uH4ow0WOgGyRm+qbHWR+b8C7M4Odg5boN/xqOUgG/B&#10;xaKkAvvzb/6Qj4JilJIGJzGn7seRWUGJ/KZR6tlwPA6jGy/j7PMIL/Y2sr+N6KNaAxIwxL0zPJoh&#10;38veLC2oV1yaVXgVQ0xzfDunvjfXvtsPXDouVquYhMNqmH/UW8MDdCA8KLFrX5k1F7k8Cv0E/cyy&#10;+TvVutzwpYbV0UNZR0kDzx2rF/px0ONQXJYybNLtPWa9/XUsfwEAAP//AwBQSwMEFAAGAAgAAAAh&#10;ADYF8UbfAAAACQEAAA8AAABkcnMvZG93bnJldi54bWxMT01PwzAMvSPxHyIjcUFbupVtrDSdEOJD&#10;2o11gHbLGtNWNE7VZG3595jTONl+z3of6Wa0jeix87UjBbNpBAKpcKamUsE+f57cgfBBk9GNI1Tw&#10;gx422eVFqhPjBnrDfhdKwSLkE62gCqFNpPRFhVb7qWuRmPtyndWBz66UptMDi9tGzqNoKa2uiR0q&#10;3eJjhcX37mQVHG7Kz60fX96HeBG3T699vvowuVLXV+PDPYiAYzg/w198jg4ZZzq6ExkvGgWTJVcJ&#10;jM94Mr+Ob3k5MhDNFyCzVP5vkP0CAAD//wMAUEsBAi0AFAAGAAgAAAAhALaDOJL+AAAA4QEAABMA&#10;AAAAAAAAAAAAAAAAAAAAAFtDb250ZW50X1R5cGVzXS54bWxQSwECLQAUAAYACAAAACEAOP0h/9YA&#10;AACUAQAACwAAAAAAAAAAAAAAAAAvAQAAX3JlbHMvLnJlbHNQSwECLQAUAAYACAAAACEARmODHEYC&#10;AACCBAAADgAAAAAAAAAAAAAAAAAuAgAAZHJzL2Uyb0RvYy54bWxQSwECLQAUAAYACAAAACEANgXx&#10;Rt8AAAAJAQAADwAAAAAAAAAAAAAAAACgBAAAZHJzL2Rvd25yZXYueG1sUEsFBgAAAAAEAAQA8wAA&#10;AKwFAAAAAA==&#10;" fillcolor="white [3201]" stroked="f" strokeweight=".5pt">
                <v:textbox>
                  <w:txbxContent>
                    <w:p w:rsidR="005562ED" w:rsidRPr="002C665D" w:rsidRDefault="005562ED" w:rsidP="002C665D">
                      <w:pPr>
                        <w:rPr>
                          <w:rFonts w:cstheme="minorHAnsi"/>
                          <w:sz w:val="18"/>
                          <w:szCs w:val="18"/>
                        </w:rPr>
                      </w:pPr>
                      <w:r w:rsidRPr="002C665D">
                        <w:rPr>
                          <w:rFonts w:cstheme="minorHAnsi"/>
                          <w:b/>
                          <w:bCs/>
                          <w:sz w:val="18"/>
                          <w:szCs w:val="18"/>
                        </w:rPr>
                        <w:t>Table 5.</w:t>
                      </w:r>
                      <w:r w:rsidRPr="002C665D">
                        <w:rPr>
                          <w:rFonts w:cstheme="minorHAnsi"/>
                          <w:sz w:val="18"/>
                          <w:szCs w:val="18"/>
                        </w:rPr>
                        <w:t xml:space="preserve"> Comparative analysis of Transformer and Graph Neural Network architectures for polymer informatics, categorized by their data representations, architectural biases, and their ability to capture the hierarchical nature of macromolecular systems.</w:t>
                      </w:r>
                    </w:p>
                  </w:txbxContent>
                </v:textbox>
                <w10:wrap anchorx="margin"/>
              </v:shape>
            </w:pict>
          </mc:Fallback>
        </mc:AlternateContent>
      </w:r>
    </w:p>
    <w:p w:rsidR="002C665D" w:rsidRDefault="002C665D" w:rsidP="00921142">
      <w:pPr>
        <w:spacing w:before="240" w:after="0" w:line="360" w:lineRule="auto"/>
        <w:jc w:val="both"/>
        <w:rPr>
          <w:rFonts w:cstheme="minorHAnsi"/>
          <w:b/>
          <w:bCs/>
        </w:rPr>
      </w:pPr>
    </w:p>
    <w:p w:rsidR="00921142" w:rsidRPr="00921142" w:rsidRDefault="00C57922" w:rsidP="00921142">
      <w:pPr>
        <w:spacing w:before="240" w:after="0" w:line="360" w:lineRule="auto"/>
        <w:jc w:val="both"/>
        <w:rPr>
          <w:rFonts w:cstheme="minorHAnsi"/>
          <w:b/>
          <w:bCs/>
        </w:rPr>
      </w:pPr>
      <w:r w:rsidRPr="00921142">
        <w:rPr>
          <w:rFonts w:cstheme="minorHAnsi"/>
          <w:b/>
          <w:bCs/>
        </w:rPr>
        <w:t xml:space="preserve">3.6 Generative Models: Engines for Inverse Design and Discovery </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Generative models learn the underlying probability distribution P(X) of polymer structures (sequences, graphs, or latent vectors), enabling de novo design, exploration of vast chemical spaces, and discovery of novel materials with targeted properties. They represent the pinnacle of inverse design in polymer informatics, shifting the field from prediction to creation. Their utility depends on bridging the persistent gap between computational generation and physical synthesizability.</w:t>
      </w:r>
    </w:p>
    <w:p w:rsidR="00921142" w:rsidRPr="00921142" w:rsidRDefault="00C57922" w:rsidP="00921142">
      <w:pPr>
        <w:spacing w:before="240" w:after="0" w:line="360" w:lineRule="auto"/>
        <w:jc w:val="both"/>
        <w:rPr>
          <w:rFonts w:cstheme="minorHAnsi"/>
          <w:b/>
          <w:bCs/>
        </w:rPr>
      </w:pPr>
      <w:r w:rsidRPr="00921142">
        <w:rPr>
          <w:rFonts w:cstheme="minorHAnsi"/>
          <w:b/>
          <w:bCs/>
        </w:rPr>
        <w:t xml:space="preserve">3.6.1 Core Architectural Paradigms and Polymer Applications </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Generative models serve as the engine for inverse design, translating desired performance metrics into candidate molecular structures. Each generative paradigm offers distinct advantages and challenges for polymer science:</w:t>
      </w:r>
    </w:p>
    <w:p w:rsidR="00C57922" w:rsidRPr="006C7800" w:rsidRDefault="00C57922" w:rsidP="004D0E2F">
      <w:pPr>
        <w:numPr>
          <w:ilvl w:val="0"/>
          <w:numId w:val="19"/>
        </w:numPr>
        <w:spacing w:after="0" w:line="360" w:lineRule="auto"/>
        <w:jc w:val="both"/>
        <w:rPr>
          <w:rFonts w:cstheme="minorHAnsi"/>
          <w:sz w:val="20"/>
          <w:szCs w:val="20"/>
        </w:rPr>
      </w:pPr>
      <w:r w:rsidRPr="00921142">
        <w:rPr>
          <w:rFonts w:cstheme="minorHAnsi"/>
          <w:b/>
          <w:bCs/>
          <w:sz w:val="20"/>
          <w:szCs w:val="20"/>
        </w:rPr>
        <w:t>Variational Autoencoders (VAEs) [74]:</w:t>
      </w:r>
      <w:r w:rsidRPr="006C7800">
        <w:rPr>
          <w:rFonts w:cstheme="minorHAnsi"/>
          <w:sz w:val="20"/>
          <w:szCs w:val="20"/>
        </w:rPr>
        <w:t xml:space="preserve"> Learn a continuous, structured latent space of polymer representations, enabling smooth interpolation and property-guided navigation. Suited for generating novel sequences or graph structures with defined topologies, outputs can be conservative or "blurred" in high-dimensional spaces.</w:t>
      </w:r>
    </w:p>
    <w:p w:rsidR="00C57922" w:rsidRPr="006C7800" w:rsidRDefault="00C57922" w:rsidP="004D0E2F">
      <w:pPr>
        <w:numPr>
          <w:ilvl w:val="0"/>
          <w:numId w:val="19"/>
        </w:numPr>
        <w:spacing w:after="0" w:line="360" w:lineRule="auto"/>
        <w:jc w:val="both"/>
        <w:rPr>
          <w:rFonts w:cstheme="minorHAnsi"/>
          <w:sz w:val="20"/>
          <w:szCs w:val="20"/>
        </w:rPr>
      </w:pPr>
      <w:r w:rsidRPr="00921142">
        <w:rPr>
          <w:rFonts w:cstheme="minorHAnsi"/>
          <w:b/>
          <w:bCs/>
          <w:sz w:val="20"/>
          <w:szCs w:val="20"/>
        </w:rPr>
        <w:lastRenderedPageBreak/>
        <w:t>Generative Adversarial Networks (GANs) [45]:</w:t>
      </w:r>
      <w:r w:rsidRPr="006C7800">
        <w:rPr>
          <w:rFonts w:cstheme="minorHAnsi"/>
          <w:sz w:val="20"/>
          <w:szCs w:val="20"/>
        </w:rPr>
        <w:t xml:space="preserve"> Train a generator against a discriminator to produce sharp, high-fidelity outputs. Effective for generating realistic repeat units or small-molecule monomers but often limited by training instability, mode collapse, and difficulties handling discrete graph-structured data.</w:t>
      </w:r>
    </w:p>
    <w:p w:rsidR="00C57922" w:rsidRPr="00921142" w:rsidRDefault="00C57922" w:rsidP="00F02B89">
      <w:pPr>
        <w:numPr>
          <w:ilvl w:val="0"/>
          <w:numId w:val="19"/>
        </w:numPr>
        <w:spacing w:after="0" w:line="360" w:lineRule="auto"/>
        <w:jc w:val="both"/>
        <w:rPr>
          <w:rFonts w:cstheme="minorHAnsi"/>
          <w:sz w:val="20"/>
          <w:szCs w:val="20"/>
        </w:rPr>
      </w:pPr>
      <w:r w:rsidRPr="00921142">
        <w:rPr>
          <w:rFonts w:cstheme="minorHAnsi"/>
          <w:b/>
          <w:bCs/>
          <w:sz w:val="20"/>
          <w:szCs w:val="20"/>
        </w:rPr>
        <w:t>Diffusion Models [53]:</w:t>
      </w:r>
      <w:r w:rsidRPr="00921142">
        <w:rPr>
          <w:rFonts w:cstheme="minorHAnsi"/>
          <w:sz w:val="20"/>
          <w:szCs w:val="20"/>
        </w:rPr>
        <w:t xml:space="preserve"> Representing current state-of-the-art, these models progressively noise data and learn to reverse the process, offering superior stability and output diversity. Graph diffusion excels at generating atomistic or coarse-grained polymer graphs, while discrete diffusion generates valid sequences (SMILES/BigSMILES) with high fidelity; iterative denoising naturally supports complex conditioning constraints like </w:t>
      </w:r>
      <w:r w:rsidRPr="00921142">
        <w:rPr>
          <w:rFonts w:cstheme="minorHAnsi"/>
          <w:i/>
          <w:iCs/>
          <w:sz w:val="20"/>
          <w:szCs w:val="20"/>
        </w:rPr>
        <w:t>Tg</w:t>
      </w:r>
      <w:r w:rsidRPr="00921142">
        <w:rPr>
          <w:rFonts w:cstheme="minorHAnsi"/>
          <w:sz w:val="20"/>
          <w:szCs w:val="20"/>
        </w:rPr>
        <w:t>​</w:t>
      </w:r>
      <w:r w:rsidR="00921142">
        <w:rPr>
          <w:rFonts w:cstheme="minorHAnsi"/>
          <w:sz w:val="20"/>
          <w:szCs w:val="20"/>
        </w:rPr>
        <w:t xml:space="preserve"> </w:t>
      </w:r>
      <w:r w:rsidRPr="00921142">
        <w:rPr>
          <w:rFonts w:cstheme="minorHAnsi"/>
          <w:sz w:val="20"/>
          <w:szCs w:val="20"/>
        </w:rPr>
        <w:t>or dispersity (Ð).</w:t>
      </w:r>
    </w:p>
    <w:p w:rsidR="00C57922" w:rsidRPr="006C7800" w:rsidRDefault="00C57922" w:rsidP="004D0E2F">
      <w:pPr>
        <w:numPr>
          <w:ilvl w:val="0"/>
          <w:numId w:val="19"/>
        </w:numPr>
        <w:spacing w:after="0" w:line="360" w:lineRule="auto"/>
        <w:jc w:val="both"/>
        <w:rPr>
          <w:rFonts w:cstheme="minorHAnsi"/>
          <w:sz w:val="20"/>
          <w:szCs w:val="20"/>
        </w:rPr>
      </w:pPr>
      <w:r w:rsidRPr="00921142">
        <w:rPr>
          <w:rFonts w:cstheme="minorHAnsi"/>
          <w:b/>
          <w:bCs/>
          <w:sz w:val="20"/>
          <w:szCs w:val="20"/>
        </w:rPr>
        <w:t>Autoregressive Models:</w:t>
      </w:r>
      <w:r w:rsidRPr="006C7800">
        <w:rPr>
          <w:rFonts w:cstheme="minorHAnsi"/>
          <w:sz w:val="20"/>
          <w:szCs w:val="20"/>
        </w:rPr>
        <w:t xml:space="preserve"> Often Transformer-based, these generate polymers token-by-token or node-by-node. They provide excellent control and high chemical validity rates but are inherently sequential, limiting structural diversity and suitability for explicit 3D conformation generation.</w:t>
      </w:r>
    </w:p>
    <w:p w:rsidR="00C57922" w:rsidRPr="006C7800" w:rsidRDefault="00C57922" w:rsidP="004D0E2F">
      <w:pPr>
        <w:spacing w:after="0" w:line="360" w:lineRule="auto"/>
        <w:jc w:val="both"/>
        <w:rPr>
          <w:rFonts w:cstheme="minorHAnsi"/>
          <w:sz w:val="20"/>
          <w:szCs w:val="20"/>
        </w:rPr>
      </w:pPr>
      <w:r w:rsidRPr="00921142">
        <w:rPr>
          <w:rFonts w:cstheme="minorHAnsi"/>
          <w:b/>
          <w:bCs/>
          <w:sz w:val="20"/>
          <w:szCs w:val="20"/>
        </w:rPr>
        <w:t xml:space="preserve">Synthesis and Key </w:t>
      </w:r>
      <w:r w:rsidR="00921142" w:rsidRPr="00921142">
        <w:rPr>
          <w:rFonts w:cstheme="minorHAnsi"/>
          <w:b/>
          <w:bCs/>
          <w:sz w:val="20"/>
          <w:szCs w:val="20"/>
        </w:rPr>
        <w:t>Strengths</w:t>
      </w:r>
      <w:r w:rsidR="00921142" w:rsidRPr="006C7800">
        <w:rPr>
          <w:rFonts w:cstheme="minorHAnsi"/>
          <w:sz w:val="20"/>
          <w:szCs w:val="20"/>
        </w:rPr>
        <w:t>:</w:t>
      </w:r>
      <w:r w:rsidR="00921142">
        <w:rPr>
          <w:rFonts w:cstheme="minorHAnsi"/>
          <w:sz w:val="20"/>
          <w:szCs w:val="20"/>
        </w:rPr>
        <w:t xml:space="preserve"> </w:t>
      </w:r>
      <w:r w:rsidRPr="006C7800">
        <w:rPr>
          <w:rFonts w:cstheme="minorHAnsi"/>
          <w:sz w:val="20"/>
          <w:szCs w:val="20"/>
        </w:rPr>
        <w:t>Together, these paradigms provide complementary pathways for exploring polymer chemical space, balancing fidelity, diversity, and controllability. Their impact is characterized by three core strengths:</w:t>
      </w:r>
    </w:p>
    <w:p w:rsidR="00C57922" w:rsidRPr="006C7800" w:rsidRDefault="00C57922" w:rsidP="004D0E2F">
      <w:pPr>
        <w:numPr>
          <w:ilvl w:val="0"/>
          <w:numId w:val="20"/>
        </w:numPr>
        <w:spacing w:after="0" w:line="360" w:lineRule="auto"/>
        <w:jc w:val="both"/>
        <w:rPr>
          <w:rFonts w:cstheme="minorHAnsi"/>
          <w:sz w:val="20"/>
          <w:szCs w:val="20"/>
        </w:rPr>
      </w:pPr>
      <w:r w:rsidRPr="006C7800">
        <w:rPr>
          <w:rFonts w:cstheme="minorHAnsi"/>
          <w:sz w:val="20"/>
          <w:szCs w:val="20"/>
        </w:rPr>
        <w:t>Inverse Design Capability: Directly targeting structures optimizing specific performance metrics.</w:t>
      </w:r>
    </w:p>
    <w:p w:rsidR="00C57922" w:rsidRPr="006C7800" w:rsidRDefault="00C57922" w:rsidP="004D0E2F">
      <w:pPr>
        <w:numPr>
          <w:ilvl w:val="0"/>
          <w:numId w:val="20"/>
        </w:numPr>
        <w:spacing w:after="0" w:line="360" w:lineRule="auto"/>
        <w:jc w:val="both"/>
        <w:rPr>
          <w:rFonts w:cstheme="minorHAnsi"/>
          <w:sz w:val="20"/>
          <w:szCs w:val="20"/>
        </w:rPr>
      </w:pPr>
      <w:r w:rsidRPr="006C7800">
        <w:rPr>
          <w:rFonts w:cstheme="minorHAnsi"/>
          <w:sz w:val="20"/>
          <w:szCs w:val="20"/>
        </w:rPr>
        <w:t>Exploration of Vast Spaces: Navigating chemical regions beyond human intuition or existing experimental databases.</w:t>
      </w:r>
    </w:p>
    <w:p w:rsidR="00C57922" w:rsidRPr="006C7800" w:rsidRDefault="00C57922" w:rsidP="004D0E2F">
      <w:pPr>
        <w:numPr>
          <w:ilvl w:val="0"/>
          <w:numId w:val="20"/>
        </w:numPr>
        <w:spacing w:after="0" w:line="360" w:lineRule="auto"/>
        <w:jc w:val="both"/>
        <w:rPr>
          <w:rFonts w:cstheme="minorHAnsi"/>
          <w:sz w:val="20"/>
          <w:szCs w:val="20"/>
        </w:rPr>
      </w:pPr>
      <w:r w:rsidRPr="006C7800">
        <w:rPr>
          <w:rFonts w:cstheme="minorHAnsi"/>
          <w:sz w:val="20"/>
          <w:szCs w:val="20"/>
        </w:rPr>
        <w:t>Multimodal Conditioning: Incorporating target properties, processing parameters, and bulk metrics to guide generative trajectory.</w:t>
      </w:r>
    </w:p>
    <w:p w:rsidR="00921142" w:rsidRPr="002C0810" w:rsidRDefault="00C57922" w:rsidP="002C0810">
      <w:pPr>
        <w:spacing w:before="240" w:after="0" w:line="360" w:lineRule="auto"/>
        <w:jc w:val="both"/>
        <w:rPr>
          <w:rFonts w:cstheme="minorHAnsi"/>
          <w:b/>
          <w:bCs/>
        </w:rPr>
      </w:pPr>
      <w:r w:rsidRPr="002C0810">
        <w:rPr>
          <w:rFonts w:cstheme="minorHAnsi"/>
          <w:b/>
          <w:bCs/>
        </w:rPr>
        <w:t>3.6.2 The Central Challenge: The Synthesizability–Realizability Gap</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The primary bottleneck is producing structures computationally optimized but physically or chemically unrealizable. This gap manifests across dimensions:</w:t>
      </w:r>
    </w:p>
    <w:p w:rsidR="00C57922" w:rsidRPr="006C7800" w:rsidRDefault="00C57922" w:rsidP="004D0E2F">
      <w:pPr>
        <w:numPr>
          <w:ilvl w:val="0"/>
          <w:numId w:val="21"/>
        </w:numPr>
        <w:spacing w:after="0" w:line="360" w:lineRule="auto"/>
        <w:jc w:val="both"/>
        <w:rPr>
          <w:rFonts w:cstheme="minorHAnsi"/>
          <w:sz w:val="20"/>
          <w:szCs w:val="20"/>
        </w:rPr>
      </w:pPr>
      <w:r w:rsidRPr="006C7800">
        <w:rPr>
          <w:rFonts w:cstheme="minorHAnsi"/>
          <w:sz w:val="20"/>
          <w:szCs w:val="20"/>
        </w:rPr>
        <w:t>Synthetic Infeasibility: Proposed monomers often lack viable chemical pathways or violate fundamental valency and reactivity rules, making them impossible to produce.</w:t>
      </w:r>
    </w:p>
    <w:p w:rsidR="00C57922" w:rsidRPr="006C7800" w:rsidRDefault="00C57922" w:rsidP="004D0E2F">
      <w:pPr>
        <w:numPr>
          <w:ilvl w:val="0"/>
          <w:numId w:val="21"/>
        </w:numPr>
        <w:spacing w:after="0" w:line="360" w:lineRule="auto"/>
        <w:jc w:val="both"/>
        <w:rPr>
          <w:rFonts w:cstheme="minorHAnsi"/>
          <w:sz w:val="20"/>
          <w:szCs w:val="20"/>
        </w:rPr>
      </w:pPr>
      <w:r w:rsidRPr="006C7800">
        <w:rPr>
          <w:rFonts w:cstheme="minorHAnsi"/>
          <w:sz w:val="20"/>
          <w:szCs w:val="20"/>
        </w:rPr>
        <w:t>Mechanistic Disregard: Generative designs frequently ignore polymerization constraints, such as step-growth vs. chain-growth kinetics distinctions or specific reactivity ratios required for functional copolymers.</w:t>
      </w:r>
    </w:p>
    <w:p w:rsidR="00C57922" w:rsidRPr="006C7800" w:rsidRDefault="00C57922" w:rsidP="004D0E2F">
      <w:pPr>
        <w:numPr>
          <w:ilvl w:val="0"/>
          <w:numId w:val="21"/>
        </w:numPr>
        <w:spacing w:after="0" w:line="360" w:lineRule="auto"/>
        <w:jc w:val="both"/>
        <w:rPr>
          <w:rFonts w:cstheme="minorHAnsi"/>
          <w:sz w:val="20"/>
          <w:szCs w:val="20"/>
        </w:rPr>
      </w:pPr>
      <w:r w:rsidRPr="006C7800">
        <w:rPr>
          <w:rFonts w:cstheme="minorHAnsi"/>
          <w:sz w:val="20"/>
          <w:szCs w:val="20"/>
        </w:rPr>
        <w:t>Ensemble Neglect: Most models generate a single, deterministic chain, failing to account for statistical reality of polymers, including molecular weight distributions, dispersity (Ð), and stochastic branching.</w:t>
      </w:r>
    </w:p>
    <w:p w:rsidR="00C57922" w:rsidRPr="006C7800" w:rsidRDefault="00C57922" w:rsidP="004D0E2F">
      <w:pPr>
        <w:numPr>
          <w:ilvl w:val="0"/>
          <w:numId w:val="21"/>
        </w:numPr>
        <w:spacing w:after="0" w:line="360" w:lineRule="auto"/>
        <w:jc w:val="both"/>
        <w:rPr>
          <w:rFonts w:cstheme="minorHAnsi"/>
          <w:sz w:val="20"/>
          <w:szCs w:val="20"/>
        </w:rPr>
      </w:pPr>
      <w:r w:rsidRPr="006C7800">
        <w:rPr>
          <w:rFonts w:cstheme="minorHAnsi"/>
          <w:sz w:val="20"/>
          <w:szCs w:val="20"/>
        </w:rPr>
        <w:t>Thermodynamic Instability: Generated structures may be prone to rapid degradation or represent metastable states physically inaccessible under standard processing conditions.</w:t>
      </w:r>
    </w:p>
    <w:p w:rsidR="002C0810" w:rsidRPr="002C0810" w:rsidRDefault="00C57922" w:rsidP="002C0810">
      <w:pPr>
        <w:spacing w:before="240" w:after="0" w:line="360" w:lineRule="auto"/>
        <w:jc w:val="both"/>
        <w:rPr>
          <w:rFonts w:cstheme="minorHAnsi"/>
          <w:b/>
          <w:bCs/>
        </w:rPr>
      </w:pPr>
      <w:r w:rsidRPr="002C0810">
        <w:rPr>
          <w:rFonts w:cstheme="minorHAnsi"/>
          <w:b/>
          <w:bCs/>
        </w:rPr>
        <w:t xml:space="preserve">3.6.3 Outlook: Toward Autonomous, Physics-Aware Discovery </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Bridging this gap requires transitioning from purely data-driven generation to closed-loop, autonomous discovery agents. The future lies in integrating four pillars into a unified framework:</w:t>
      </w:r>
    </w:p>
    <w:p w:rsidR="00C57922" w:rsidRPr="006C7800" w:rsidRDefault="00C57922" w:rsidP="004D0E2F">
      <w:pPr>
        <w:numPr>
          <w:ilvl w:val="0"/>
          <w:numId w:val="22"/>
        </w:numPr>
        <w:spacing w:after="0" w:line="360" w:lineRule="auto"/>
        <w:jc w:val="both"/>
        <w:rPr>
          <w:rFonts w:cstheme="minorHAnsi"/>
          <w:sz w:val="20"/>
          <w:szCs w:val="20"/>
        </w:rPr>
      </w:pPr>
      <w:r w:rsidRPr="006C7800">
        <w:rPr>
          <w:rFonts w:cstheme="minorHAnsi"/>
          <w:sz w:val="20"/>
          <w:szCs w:val="20"/>
        </w:rPr>
        <w:lastRenderedPageBreak/>
        <w:t>Constrained Generative Engines: Utilizing Diffusion or Transformer-based models hard-coded with chemical rules or guided by retrosynthesis predictors to ensure candidates are inherently synthesizable.</w:t>
      </w:r>
    </w:p>
    <w:p w:rsidR="00C57922" w:rsidRPr="006C7800" w:rsidRDefault="00C57922" w:rsidP="004D0E2F">
      <w:pPr>
        <w:numPr>
          <w:ilvl w:val="0"/>
          <w:numId w:val="22"/>
        </w:numPr>
        <w:spacing w:after="0" w:line="360" w:lineRule="auto"/>
        <w:jc w:val="both"/>
        <w:rPr>
          <w:rFonts w:cstheme="minorHAnsi"/>
          <w:sz w:val="20"/>
          <w:szCs w:val="20"/>
        </w:rPr>
      </w:pPr>
      <w:r w:rsidRPr="006C7800">
        <w:rPr>
          <w:rFonts w:cstheme="minorHAnsi"/>
          <w:sz w:val="20"/>
          <w:szCs w:val="20"/>
        </w:rPr>
        <w:t>Hybrid Physics-ML Validation: Integrating reaction kinetics and molecular dynamics (MD) simulators as "critics" to screen for thermodynamic stability and map sequences to 3D conformational ensembles.</w:t>
      </w:r>
    </w:p>
    <w:p w:rsidR="00C57922" w:rsidRPr="006C7800" w:rsidRDefault="00C57922" w:rsidP="004D0E2F">
      <w:pPr>
        <w:numPr>
          <w:ilvl w:val="0"/>
          <w:numId w:val="22"/>
        </w:numPr>
        <w:spacing w:after="0" w:line="360" w:lineRule="auto"/>
        <w:jc w:val="both"/>
        <w:rPr>
          <w:rFonts w:cstheme="minorHAnsi"/>
          <w:sz w:val="20"/>
          <w:szCs w:val="20"/>
        </w:rPr>
      </w:pPr>
      <w:r w:rsidRPr="006C7800">
        <w:rPr>
          <w:rFonts w:cstheme="minorHAnsi"/>
          <w:sz w:val="20"/>
          <w:szCs w:val="20"/>
        </w:rPr>
        <w:t>Ensemble-Aware Modeling: Shifting generative target from single molecules to statistical distributions, enabling design of repeat units alongside intended molecular weight averages and topologies.</w:t>
      </w:r>
    </w:p>
    <w:p w:rsidR="00C57922" w:rsidRPr="006C7800" w:rsidRDefault="00C57922" w:rsidP="004D0E2F">
      <w:pPr>
        <w:numPr>
          <w:ilvl w:val="0"/>
          <w:numId w:val="22"/>
        </w:numPr>
        <w:spacing w:after="0" w:line="360" w:lineRule="auto"/>
        <w:jc w:val="both"/>
        <w:rPr>
          <w:rFonts w:cstheme="minorHAnsi"/>
          <w:sz w:val="20"/>
          <w:szCs w:val="20"/>
        </w:rPr>
      </w:pPr>
      <w:r w:rsidRPr="006C7800">
        <w:rPr>
          <w:rFonts w:cstheme="minorHAnsi"/>
          <w:sz w:val="20"/>
          <w:szCs w:val="20"/>
        </w:rPr>
        <w:t>Experimental Feedback Loops: Finalizing the discovery cycle by using high-throughput experimental data to refine the generator’s understanding of the relationship between synthesis language and physics of performance.</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By uniting generative creativity with these constraints, next-generation polymer informatics moves beyond structural proposals toward truly autonomous discovery of performance-optimized, laboratory-ready materials.</w:t>
      </w:r>
    </w:p>
    <w:p w:rsidR="002C0810" w:rsidRPr="002C0810" w:rsidRDefault="00C57922" w:rsidP="002C0810">
      <w:pPr>
        <w:spacing w:before="240" w:after="0" w:line="360" w:lineRule="auto"/>
        <w:jc w:val="both"/>
        <w:rPr>
          <w:rFonts w:cstheme="minorHAnsi"/>
          <w:b/>
          <w:bCs/>
        </w:rPr>
      </w:pPr>
      <w:r w:rsidRPr="002C0810">
        <w:rPr>
          <w:rFonts w:cstheme="minorHAnsi"/>
          <w:b/>
          <w:bCs/>
        </w:rPr>
        <w:t xml:space="preserve">3.7 Advanced Paradigms for Data Scarce Regimes </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 xml:space="preserve">Polymer datasets pose challenges: </w:t>
      </w:r>
      <w:r w:rsidR="002C0810" w:rsidRPr="006C7800">
        <w:rPr>
          <w:rFonts w:cstheme="minorHAnsi"/>
          <w:sz w:val="20"/>
          <w:szCs w:val="20"/>
        </w:rPr>
        <w:t>typically,</w:t>
      </w:r>
      <w:r w:rsidRPr="006C7800">
        <w:rPr>
          <w:rFonts w:cstheme="minorHAnsi"/>
          <w:sz w:val="20"/>
          <w:szCs w:val="20"/>
        </w:rPr>
        <w:t xml:space="preserve"> small, noisy due to experimental variability, heterogeneous across sources, and incomplete in property coverage. These constraints demand learning paradigms extracting maximal information from limited, imperfect data. The field shifts toward architectures deriving intelligence from vast, unlabeled chemical datasets.</w:t>
      </w:r>
    </w:p>
    <w:p w:rsidR="00C57922" w:rsidRPr="006C7800" w:rsidRDefault="002C0810" w:rsidP="004D0E2F">
      <w:pPr>
        <w:spacing w:after="0" w:line="360" w:lineRule="auto"/>
        <w:jc w:val="both"/>
        <w:rPr>
          <w:rFonts w:cstheme="minorHAnsi"/>
          <w:sz w:val="20"/>
          <w:szCs w:val="20"/>
        </w:rPr>
      </w:pPr>
      <w:r w:rsidRPr="006C7800">
        <w:rPr>
          <w:rFonts w:cstheme="minorHAnsi"/>
          <w:sz w:val="20"/>
          <w:szCs w:val="20"/>
        </w:rPr>
        <w:t>Self-Supervised</w:t>
      </w:r>
      <w:r w:rsidR="00C57922" w:rsidRPr="006C7800">
        <w:rPr>
          <w:rFonts w:cstheme="minorHAnsi"/>
          <w:sz w:val="20"/>
          <w:szCs w:val="20"/>
        </w:rPr>
        <w:t xml:space="preserve"> Learning (SSL) [39] leverages inherent structure of unlabeled polymer data to learn robust, transferable representations [55]. Pretext tasks</w:t>
      </w:r>
      <w:r w:rsidR="00430310">
        <w:rPr>
          <w:rFonts w:cstheme="minorHAnsi"/>
          <w:sz w:val="20"/>
          <w:szCs w:val="20"/>
        </w:rPr>
        <w:t xml:space="preserve">, </w:t>
      </w:r>
      <w:r w:rsidR="00C57922" w:rsidRPr="006C7800">
        <w:rPr>
          <w:rFonts w:cstheme="minorHAnsi"/>
          <w:sz w:val="20"/>
          <w:szCs w:val="20"/>
        </w:rPr>
        <w:t>masked token prediction for sequences, contrastive learning [18] for graphs, or rotation prediction for morphology images</w:t>
      </w:r>
      <w:r w:rsidR="00430310">
        <w:rPr>
          <w:rFonts w:cstheme="minorHAnsi"/>
          <w:sz w:val="20"/>
          <w:szCs w:val="20"/>
        </w:rPr>
        <w:t xml:space="preserve">, </w:t>
      </w:r>
      <w:r w:rsidR="00C57922" w:rsidRPr="006C7800">
        <w:rPr>
          <w:rFonts w:cstheme="minorHAnsi"/>
          <w:sz w:val="20"/>
          <w:szCs w:val="20"/>
        </w:rPr>
        <w:t>enable models to internalize chemical and physical invariances. SSL-derived embeddings reduce downstream data requirements by one to two orders of magnitude while improving generalization across polymer classes and conditions.</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Physics Informed Neural Networks (PINNs) [66,118] bridge the gap between empirical data and domain theory by embedding fundamental physical laws directly into the learning process. This is achieved through hard architectural constraints (symmetry-preserving or equivariant layers) or soft regularization (incorporating physical equations into the loss function). In polymer science, this integration specifically targets:</w:t>
      </w:r>
    </w:p>
    <w:p w:rsidR="00C57922" w:rsidRPr="006C7800" w:rsidRDefault="00C57922" w:rsidP="004D0E2F">
      <w:pPr>
        <w:numPr>
          <w:ilvl w:val="0"/>
          <w:numId w:val="23"/>
        </w:numPr>
        <w:spacing w:after="0" w:line="360" w:lineRule="auto"/>
        <w:jc w:val="both"/>
        <w:rPr>
          <w:rFonts w:cstheme="minorHAnsi"/>
          <w:sz w:val="20"/>
          <w:szCs w:val="20"/>
        </w:rPr>
      </w:pPr>
      <w:r w:rsidRPr="006C7800">
        <w:rPr>
          <w:rFonts w:cstheme="minorHAnsi"/>
          <w:sz w:val="20"/>
          <w:szCs w:val="20"/>
        </w:rPr>
        <w:t>Thermodynamic Consistency: Embedding relations like Flory–Huggins or Sanchez–Lacombe to ensure phase behavior and solubility predictions remain physically valid.</w:t>
      </w:r>
    </w:p>
    <w:p w:rsidR="00C57922" w:rsidRPr="006C7800" w:rsidRDefault="00C57922" w:rsidP="004D0E2F">
      <w:pPr>
        <w:numPr>
          <w:ilvl w:val="0"/>
          <w:numId w:val="23"/>
        </w:numPr>
        <w:spacing w:after="0" w:line="360" w:lineRule="auto"/>
        <w:jc w:val="both"/>
        <w:rPr>
          <w:rFonts w:cstheme="minorHAnsi"/>
          <w:sz w:val="20"/>
          <w:szCs w:val="20"/>
        </w:rPr>
      </w:pPr>
      <w:r w:rsidRPr="006C7800">
        <w:rPr>
          <w:rFonts w:cstheme="minorHAnsi"/>
          <w:sz w:val="20"/>
          <w:szCs w:val="20"/>
        </w:rPr>
        <w:t>Reaction &amp; Degradation Kinetics: Encoding polymerization pathways and Arrhenius-type degradation models to constrain time-dependent property evolution.</w:t>
      </w:r>
    </w:p>
    <w:p w:rsidR="00C57922" w:rsidRPr="006C7800" w:rsidRDefault="00C57922" w:rsidP="004D0E2F">
      <w:pPr>
        <w:numPr>
          <w:ilvl w:val="0"/>
          <w:numId w:val="23"/>
        </w:numPr>
        <w:spacing w:after="0" w:line="360" w:lineRule="auto"/>
        <w:jc w:val="both"/>
        <w:rPr>
          <w:rFonts w:cstheme="minorHAnsi"/>
          <w:sz w:val="20"/>
          <w:szCs w:val="20"/>
        </w:rPr>
      </w:pPr>
      <w:r w:rsidRPr="006C7800">
        <w:rPr>
          <w:rFonts w:cstheme="minorHAnsi"/>
          <w:sz w:val="20"/>
          <w:szCs w:val="20"/>
        </w:rPr>
        <w:t>Transport &amp; Conservation Laws: Enforcing conservation of mass, momentum, and energy to model behavior during complex processing like extrusion or injection molding.</w:t>
      </w:r>
    </w:p>
    <w:p w:rsidR="00C57922" w:rsidRPr="006C7800" w:rsidRDefault="00C57922" w:rsidP="004D0E2F">
      <w:pPr>
        <w:numPr>
          <w:ilvl w:val="0"/>
          <w:numId w:val="23"/>
        </w:numPr>
        <w:spacing w:after="0" w:line="360" w:lineRule="auto"/>
        <w:jc w:val="both"/>
        <w:rPr>
          <w:rFonts w:cstheme="minorHAnsi"/>
          <w:sz w:val="20"/>
          <w:szCs w:val="20"/>
        </w:rPr>
      </w:pPr>
      <w:r w:rsidRPr="006C7800">
        <w:rPr>
          <w:rFonts w:cstheme="minorHAnsi"/>
          <w:sz w:val="20"/>
          <w:szCs w:val="20"/>
        </w:rPr>
        <w:t>Rheological Constitutive Relations: Incorporating governing equations of viscoelasticity to capture non-linear mechanical response of macromolecular chains.</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lastRenderedPageBreak/>
        <w:t>By anchoring high-dimensional representations to established first principles, PINNs mitigate "black-box" over-fitting risks, enhancing extrapolative reliability and ensuring physical consistency in data-scarce regimes.</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Multi Task and Multi Fidelity Learning strategically exploit correlations across related properties or data sources. Multi</w:t>
      </w:r>
      <w:r w:rsidRPr="006C7800">
        <w:rPr>
          <w:rFonts w:cstheme="minorHAnsi"/>
          <w:sz w:val="20"/>
          <w:szCs w:val="20"/>
        </w:rPr>
        <w:noBreakHyphen/>
        <w:t>task architectures learn shared representations from coupled properties (e.g., Tg, modulus, permeability), effectively amplifying training signal per sample. Multi</w:t>
      </w:r>
      <w:r w:rsidRPr="006C7800">
        <w:rPr>
          <w:rFonts w:cstheme="minorHAnsi"/>
          <w:sz w:val="20"/>
          <w:szCs w:val="20"/>
        </w:rPr>
        <w:noBreakHyphen/>
        <w:t>task learning frameworks [15] leverage correlations across properties to improve sample efficiency, especially in fragmented polymer datasets. Multi</w:t>
      </w:r>
      <w:r w:rsidRPr="006C7800">
        <w:rPr>
          <w:rFonts w:cstheme="minorHAnsi"/>
          <w:sz w:val="20"/>
          <w:szCs w:val="20"/>
        </w:rPr>
        <w:noBreakHyphen/>
        <w:t>fidelity approaches integrate diverse data, from high</w:t>
      </w:r>
      <w:r w:rsidRPr="006C7800">
        <w:rPr>
          <w:rFonts w:cstheme="minorHAnsi"/>
          <w:sz w:val="20"/>
          <w:szCs w:val="20"/>
        </w:rPr>
        <w:noBreakHyphen/>
        <w:t>throughput simulations and accelerated testing to sparse, high</w:t>
      </w:r>
      <w:r w:rsidRPr="006C7800">
        <w:rPr>
          <w:rFonts w:cstheme="minorHAnsi"/>
          <w:sz w:val="20"/>
          <w:szCs w:val="20"/>
        </w:rPr>
        <w:noBreakHyphen/>
        <w:t>accuracy experiments, learning to correct systematic biases while propagating uncertainty. These paradigms are essential for constructing reliable predictive models from fragmented datasets. Bayesian optimization [62], multi</w:t>
      </w:r>
      <w:r w:rsidRPr="006C7800">
        <w:rPr>
          <w:rFonts w:cstheme="minorHAnsi"/>
          <w:sz w:val="20"/>
          <w:szCs w:val="20"/>
        </w:rPr>
        <w:noBreakHyphen/>
        <w:t>fidelity modeling [107], and learning from failed experiments [117] offer complementary strategies for sample-efficient discovery.</w:t>
      </w:r>
    </w:p>
    <w:p w:rsidR="002C0810" w:rsidRPr="002C0810" w:rsidRDefault="00C57922" w:rsidP="002C0810">
      <w:pPr>
        <w:spacing w:before="240" w:after="0" w:line="360" w:lineRule="auto"/>
        <w:jc w:val="both"/>
        <w:rPr>
          <w:rFonts w:cstheme="minorHAnsi"/>
          <w:b/>
          <w:bCs/>
        </w:rPr>
      </w:pPr>
      <w:r w:rsidRPr="002C0810">
        <w:rPr>
          <w:rFonts w:cstheme="minorHAnsi"/>
          <w:b/>
          <w:bCs/>
        </w:rPr>
        <w:t xml:space="preserve">3.8 Critical Synthesis: Aligning Architecture, Representation, and Task </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Effective deep learning in polymer science requires coherent alignment between three interdependent elements: the data representation, the model architecture, and the target task. Misalignment forces unnatural data transformations, discards essential information, and limits predictive performance.</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The Logic of Architectural Selection Architecture choice is dictated by input data dimensionality and connectivity. When polymer is viewed as a chemical language, Transformers are preferred for modeling long-range monomer dependencies. Conversely, when physical connectivity or 3D topology is the primary property driver, GNNs provide necessary structural rigor. For image-based data like microscopy or scattering, CNNs remain standard for spatial hierarchy extraction.</w:t>
      </w:r>
    </w:p>
    <w:p w:rsidR="00C57922" w:rsidRDefault="00C57922" w:rsidP="004D0E2F">
      <w:pPr>
        <w:spacing w:after="0" w:line="360" w:lineRule="auto"/>
        <w:jc w:val="both"/>
        <w:rPr>
          <w:rFonts w:cstheme="minorHAnsi"/>
          <w:sz w:val="20"/>
          <w:szCs w:val="20"/>
        </w:rPr>
      </w:pPr>
      <w:r w:rsidRPr="006C7800">
        <w:rPr>
          <w:rFonts w:cstheme="minorHAnsi"/>
          <w:sz w:val="20"/>
          <w:szCs w:val="20"/>
        </w:rPr>
        <w:t>To bridge paradigms, Hybrid Architectures and Neuro-Symbolic Integration [131] represent the current frontier. By coupling Transformer encoders (for sequence semantics) with GNN decoders (for 3D structure), researchers achieve multiscale reasoning. Furthermore, by blending neural pattern recognition with explicit chemical knowledge (valence rules, thermodynamic constraints), models ensure predictions respect fundamental physical principles while retaining deep learning's exploratory power (see Table 6).</w:t>
      </w:r>
    </w:p>
    <w:p w:rsidR="002C665D" w:rsidRDefault="002C665D" w:rsidP="004D0E2F">
      <w:pPr>
        <w:spacing w:after="0" w:line="360" w:lineRule="auto"/>
        <w:jc w:val="both"/>
        <w:rPr>
          <w:rFonts w:cstheme="minorHAnsi"/>
          <w:sz w:val="20"/>
          <w:szCs w:val="20"/>
        </w:rPr>
      </w:pPr>
    </w:p>
    <w:tbl>
      <w:tblPr>
        <w:tblStyle w:val="PlainTable1"/>
        <w:tblW w:w="0" w:type="auto"/>
        <w:tblCellMar>
          <w:left w:w="14" w:type="dxa"/>
          <w:right w:w="14" w:type="dxa"/>
        </w:tblCellMar>
        <w:tblLook w:val="04A0" w:firstRow="1" w:lastRow="0" w:firstColumn="1" w:lastColumn="0" w:noHBand="0" w:noVBand="1"/>
      </w:tblPr>
      <w:tblGrid>
        <w:gridCol w:w="1120"/>
        <w:gridCol w:w="1310"/>
        <w:gridCol w:w="1362"/>
        <w:gridCol w:w="1367"/>
        <w:gridCol w:w="1129"/>
        <w:gridCol w:w="1313"/>
        <w:gridCol w:w="1749"/>
      </w:tblGrid>
      <w:tr w:rsidR="002C665D" w:rsidRPr="002C665D" w:rsidTr="00F02B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C665D" w:rsidRPr="002C665D" w:rsidRDefault="002C665D" w:rsidP="002C665D">
            <w:pPr>
              <w:spacing w:line="276" w:lineRule="auto"/>
              <w:jc w:val="center"/>
              <w:rPr>
                <w:rFonts w:eastAsia="Times New Roman" w:cstheme="minorHAnsi"/>
                <w:sz w:val="20"/>
                <w:szCs w:val="20"/>
              </w:rPr>
            </w:pPr>
            <w:r w:rsidRPr="002C665D">
              <w:rPr>
                <w:rFonts w:eastAsia="Times New Roman" w:cstheme="minorHAnsi"/>
                <w:sz w:val="20"/>
                <w:szCs w:val="20"/>
              </w:rPr>
              <w:t>Architecture </w:t>
            </w:r>
          </w:p>
        </w:tc>
        <w:tc>
          <w:tcPr>
            <w:tcW w:w="1150" w:type="dxa"/>
            <w:hideMark/>
          </w:tcPr>
          <w:p w:rsidR="002C665D" w:rsidRPr="002C665D" w:rsidRDefault="002C665D" w:rsidP="002C665D">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Input Representation</w:t>
            </w:r>
          </w:p>
        </w:tc>
        <w:tc>
          <w:tcPr>
            <w:tcW w:w="1362" w:type="dxa"/>
            <w:hideMark/>
          </w:tcPr>
          <w:p w:rsidR="002C665D" w:rsidRPr="002C665D" w:rsidRDefault="002C665D" w:rsidP="002C665D">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Inductive Bias</w:t>
            </w:r>
          </w:p>
        </w:tc>
        <w:tc>
          <w:tcPr>
            <w:tcW w:w="0" w:type="auto"/>
            <w:hideMark/>
          </w:tcPr>
          <w:p w:rsidR="002C665D" w:rsidRPr="002C665D" w:rsidRDefault="002C665D" w:rsidP="002C665D">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Optimal Scale</w:t>
            </w:r>
          </w:p>
        </w:tc>
        <w:tc>
          <w:tcPr>
            <w:tcW w:w="0" w:type="auto"/>
            <w:hideMark/>
          </w:tcPr>
          <w:p w:rsidR="002C665D" w:rsidRPr="002C665D" w:rsidRDefault="002C665D" w:rsidP="002C665D">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Key Strength</w:t>
            </w:r>
          </w:p>
        </w:tc>
        <w:tc>
          <w:tcPr>
            <w:tcW w:w="0" w:type="auto"/>
            <w:hideMark/>
          </w:tcPr>
          <w:p w:rsidR="002C665D" w:rsidRPr="002C665D" w:rsidRDefault="002C665D" w:rsidP="002C665D">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Primary Limitation</w:t>
            </w:r>
          </w:p>
        </w:tc>
        <w:tc>
          <w:tcPr>
            <w:tcW w:w="0" w:type="auto"/>
            <w:hideMark/>
          </w:tcPr>
          <w:p w:rsidR="002C665D" w:rsidRPr="002C665D" w:rsidRDefault="002C665D" w:rsidP="002C665D">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Prime Polymer Use Case</w:t>
            </w:r>
          </w:p>
        </w:tc>
      </w:tr>
      <w:tr w:rsidR="002C665D" w:rsidRPr="002C665D" w:rsidTr="00F02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C665D" w:rsidRPr="002C665D" w:rsidRDefault="002C665D" w:rsidP="002C665D">
            <w:pPr>
              <w:spacing w:line="276" w:lineRule="auto"/>
              <w:rPr>
                <w:rFonts w:eastAsia="Times New Roman" w:cstheme="minorHAnsi"/>
                <w:sz w:val="20"/>
                <w:szCs w:val="20"/>
              </w:rPr>
            </w:pPr>
            <w:r w:rsidRPr="002C665D">
              <w:rPr>
                <w:rFonts w:eastAsia="Times New Roman" w:cstheme="minorHAnsi"/>
                <w:sz w:val="20"/>
                <w:szCs w:val="20"/>
              </w:rPr>
              <w:t>FFNN</w:t>
            </w:r>
          </w:p>
        </w:tc>
        <w:tc>
          <w:tcPr>
            <w:tcW w:w="1150" w:type="dxa"/>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Tabular Descriptors</w:t>
            </w:r>
          </w:p>
        </w:tc>
        <w:tc>
          <w:tcPr>
            <w:tcW w:w="1362" w:type="dxa"/>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None (Global)</w:t>
            </w:r>
          </w:p>
        </w:tc>
        <w:tc>
          <w:tcPr>
            <w:tcW w:w="0" w:type="auto"/>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Bulk</w:t>
            </w:r>
          </w:p>
        </w:tc>
        <w:tc>
          <w:tcPr>
            <w:tcW w:w="0" w:type="auto"/>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Fast inference; interpretable features</w:t>
            </w:r>
          </w:p>
        </w:tc>
        <w:tc>
          <w:tcPr>
            <w:tcW w:w="0" w:type="auto"/>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Requires manual feature engineering</w:t>
            </w:r>
          </w:p>
        </w:tc>
        <w:tc>
          <w:tcPr>
            <w:tcW w:w="0" w:type="auto"/>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QSPR baselines; solubility correlations</w:t>
            </w:r>
          </w:p>
        </w:tc>
      </w:tr>
      <w:tr w:rsidR="002C665D" w:rsidRPr="002C665D" w:rsidTr="00F02B89">
        <w:tc>
          <w:tcPr>
            <w:cnfStyle w:val="001000000000" w:firstRow="0" w:lastRow="0" w:firstColumn="1" w:lastColumn="0" w:oddVBand="0" w:evenVBand="0" w:oddHBand="0" w:evenHBand="0" w:firstRowFirstColumn="0" w:firstRowLastColumn="0" w:lastRowFirstColumn="0" w:lastRowLastColumn="0"/>
            <w:tcW w:w="0" w:type="auto"/>
            <w:hideMark/>
          </w:tcPr>
          <w:p w:rsidR="002C665D" w:rsidRPr="002C665D" w:rsidRDefault="002C665D" w:rsidP="002C665D">
            <w:pPr>
              <w:spacing w:line="276" w:lineRule="auto"/>
              <w:rPr>
                <w:rFonts w:eastAsia="Times New Roman" w:cstheme="minorHAnsi"/>
                <w:sz w:val="20"/>
                <w:szCs w:val="20"/>
              </w:rPr>
            </w:pPr>
            <w:r w:rsidRPr="002C665D">
              <w:rPr>
                <w:rFonts w:eastAsia="Times New Roman" w:cstheme="minorHAnsi"/>
                <w:sz w:val="20"/>
                <w:szCs w:val="20"/>
              </w:rPr>
              <w:t>CNN</w:t>
            </w:r>
          </w:p>
        </w:tc>
        <w:tc>
          <w:tcPr>
            <w:tcW w:w="1150" w:type="dxa"/>
            <w:hideMark/>
          </w:tcPr>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Images / Voxels</w:t>
            </w:r>
          </w:p>
        </w:tc>
        <w:tc>
          <w:tcPr>
            <w:tcW w:w="1362" w:type="dxa"/>
            <w:hideMark/>
          </w:tcPr>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Translation Equivariance</w:t>
            </w:r>
          </w:p>
        </w:tc>
        <w:tc>
          <w:tcPr>
            <w:tcW w:w="0" w:type="auto"/>
            <w:hideMark/>
          </w:tcPr>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Micro/Meso</w:t>
            </w:r>
          </w:p>
        </w:tc>
        <w:tc>
          <w:tcPr>
            <w:tcW w:w="0" w:type="auto"/>
            <w:hideMark/>
          </w:tcPr>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Hierarchical spatial feature extraction</w:t>
            </w:r>
          </w:p>
        </w:tc>
        <w:tc>
          <w:tcPr>
            <w:tcW w:w="0" w:type="auto"/>
            <w:hideMark/>
          </w:tcPr>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Loses explicit bond connectivity</w:t>
            </w:r>
          </w:p>
        </w:tc>
        <w:tc>
          <w:tcPr>
            <w:tcW w:w="0" w:type="auto"/>
            <w:hideMark/>
          </w:tcPr>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Microscopy analysis; scattering interpretation</w:t>
            </w:r>
          </w:p>
        </w:tc>
      </w:tr>
      <w:tr w:rsidR="002C665D" w:rsidRPr="002C665D" w:rsidTr="00F02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C665D" w:rsidRPr="002C665D" w:rsidRDefault="002C665D" w:rsidP="002C665D">
            <w:pPr>
              <w:spacing w:line="276" w:lineRule="auto"/>
              <w:rPr>
                <w:rFonts w:eastAsia="Times New Roman" w:cstheme="minorHAnsi"/>
                <w:sz w:val="20"/>
                <w:szCs w:val="20"/>
              </w:rPr>
            </w:pPr>
            <w:r w:rsidRPr="002C665D">
              <w:rPr>
                <w:rFonts w:eastAsia="Times New Roman" w:cstheme="minorHAnsi"/>
                <w:sz w:val="20"/>
                <w:szCs w:val="20"/>
              </w:rPr>
              <w:lastRenderedPageBreak/>
              <w:t>RNN (LSTM/GRU)</w:t>
            </w:r>
          </w:p>
        </w:tc>
        <w:tc>
          <w:tcPr>
            <w:tcW w:w="1150" w:type="dxa"/>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Time Series / Sequences</w:t>
            </w:r>
          </w:p>
        </w:tc>
        <w:tc>
          <w:tcPr>
            <w:tcW w:w="1362" w:type="dxa"/>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Sequential Recurrence</w:t>
            </w:r>
          </w:p>
        </w:tc>
        <w:tc>
          <w:tcPr>
            <w:tcW w:w="0" w:type="auto"/>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Processing</w:t>
            </w:r>
          </w:p>
        </w:tc>
        <w:tc>
          <w:tcPr>
            <w:tcW w:w="0" w:type="auto"/>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Captures temporal dynamics &amp; history</w:t>
            </w:r>
          </w:p>
        </w:tc>
        <w:tc>
          <w:tcPr>
            <w:tcW w:w="0" w:type="auto"/>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Limited long-range memory; slow training</w:t>
            </w:r>
          </w:p>
        </w:tc>
        <w:tc>
          <w:tcPr>
            <w:tcW w:w="0" w:type="auto"/>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Extrusion/Processing history; rheology</w:t>
            </w:r>
          </w:p>
        </w:tc>
      </w:tr>
      <w:tr w:rsidR="002C665D" w:rsidRPr="002C665D" w:rsidTr="00F02B89">
        <w:tc>
          <w:tcPr>
            <w:cnfStyle w:val="001000000000" w:firstRow="0" w:lastRow="0" w:firstColumn="1" w:lastColumn="0" w:oddVBand="0" w:evenVBand="0" w:oddHBand="0" w:evenHBand="0" w:firstRowFirstColumn="0" w:firstRowLastColumn="0" w:lastRowFirstColumn="0" w:lastRowLastColumn="0"/>
            <w:tcW w:w="0" w:type="auto"/>
            <w:hideMark/>
          </w:tcPr>
          <w:p w:rsidR="002C665D" w:rsidRPr="002C665D" w:rsidRDefault="002C665D" w:rsidP="002C665D">
            <w:pPr>
              <w:spacing w:line="276" w:lineRule="auto"/>
              <w:rPr>
                <w:rFonts w:eastAsia="Times New Roman" w:cstheme="minorHAnsi"/>
                <w:sz w:val="20"/>
                <w:szCs w:val="20"/>
              </w:rPr>
            </w:pPr>
            <w:r w:rsidRPr="002C665D">
              <w:rPr>
                <w:rFonts w:eastAsia="Times New Roman" w:cstheme="minorHAnsi"/>
                <w:sz w:val="20"/>
                <w:szCs w:val="20"/>
              </w:rPr>
              <w:t>GNN</w:t>
            </w:r>
          </w:p>
        </w:tc>
        <w:tc>
          <w:tcPr>
            <w:tcW w:w="1150" w:type="dxa"/>
            <w:hideMark/>
          </w:tcPr>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Graphs (Atoms/Bonds)</w:t>
            </w:r>
          </w:p>
        </w:tc>
        <w:tc>
          <w:tcPr>
            <w:tcW w:w="1362" w:type="dxa"/>
            <w:hideMark/>
          </w:tcPr>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Permutation Invariance</w:t>
            </w:r>
          </w:p>
        </w:tc>
        <w:tc>
          <w:tcPr>
            <w:tcW w:w="0" w:type="auto"/>
            <w:hideMark/>
          </w:tcPr>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Molecular</w:t>
            </w:r>
          </w:p>
        </w:tc>
        <w:tc>
          <w:tcPr>
            <w:tcW w:w="0" w:type="auto"/>
            <w:hideMark/>
          </w:tcPr>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Native structural reasoning; bond-aware</w:t>
            </w:r>
          </w:p>
        </w:tc>
        <w:tc>
          <w:tcPr>
            <w:tcW w:w="0" w:type="auto"/>
            <w:hideMark/>
          </w:tcPr>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Over-squashing; poor long-range flow</w:t>
            </w:r>
          </w:p>
        </w:tc>
        <w:tc>
          <w:tcPr>
            <w:tcW w:w="0" w:type="auto"/>
            <w:hideMark/>
          </w:tcPr>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Structure–property prediction; topology</w:t>
            </w:r>
          </w:p>
        </w:tc>
      </w:tr>
      <w:tr w:rsidR="002C665D" w:rsidRPr="002C665D" w:rsidTr="00F02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C665D" w:rsidRPr="002C665D" w:rsidRDefault="002C665D" w:rsidP="002C665D">
            <w:pPr>
              <w:spacing w:line="276" w:lineRule="auto"/>
              <w:rPr>
                <w:rFonts w:eastAsia="Times New Roman" w:cstheme="minorHAnsi"/>
                <w:sz w:val="20"/>
                <w:szCs w:val="20"/>
              </w:rPr>
            </w:pPr>
            <w:r w:rsidRPr="002C665D">
              <w:rPr>
                <w:rFonts w:eastAsia="Times New Roman" w:cstheme="minorHAnsi"/>
                <w:sz w:val="20"/>
                <w:szCs w:val="20"/>
              </w:rPr>
              <w:t>Transformer</w:t>
            </w:r>
          </w:p>
        </w:tc>
        <w:tc>
          <w:tcPr>
            <w:tcW w:w="1150" w:type="dxa"/>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Sequences (SMILES)</w:t>
            </w:r>
          </w:p>
        </w:tc>
        <w:tc>
          <w:tcPr>
            <w:tcW w:w="1362" w:type="dxa"/>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Contextual Attention</w:t>
            </w:r>
          </w:p>
        </w:tc>
        <w:tc>
          <w:tcPr>
            <w:tcW w:w="0" w:type="auto"/>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Chain</w:t>
            </w:r>
          </w:p>
        </w:tc>
        <w:tc>
          <w:tcPr>
            <w:tcW w:w="0" w:type="auto"/>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Captures long-range sequence context</w:t>
            </w:r>
          </w:p>
        </w:tc>
        <w:tc>
          <w:tcPr>
            <w:tcW w:w="0" w:type="auto"/>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O(N</w:t>
            </w:r>
            <w:r w:rsidRPr="002C665D">
              <w:rPr>
                <w:rFonts w:eastAsia="Times New Roman" w:cstheme="minorHAnsi"/>
                <w:sz w:val="20"/>
                <w:szCs w:val="20"/>
                <w:vertAlign w:val="superscript"/>
              </w:rPr>
              <w:t>2</w:t>
            </w:r>
            <w:r w:rsidRPr="002C665D">
              <w:rPr>
                <w:rFonts w:eastAsia="Times New Roman" w:cstheme="minorHAnsi"/>
                <w:sz w:val="20"/>
                <w:szCs w:val="20"/>
              </w:rPr>
              <w:t>)scaling (N:sequence length); ignores 3D physics</w:t>
            </w:r>
          </w:p>
        </w:tc>
        <w:tc>
          <w:tcPr>
            <w:tcW w:w="0" w:type="auto"/>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Language models; copolymer sequence design</w:t>
            </w:r>
          </w:p>
        </w:tc>
      </w:tr>
      <w:tr w:rsidR="002C665D" w:rsidRPr="002C665D" w:rsidTr="00F02B89">
        <w:tc>
          <w:tcPr>
            <w:cnfStyle w:val="001000000000" w:firstRow="0" w:lastRow="0" w:firstColumn="1" w:lastColumn="0" w:oddVBand="0" w:evenVBand="0" w:oddHBand="0" w:evenHBand="0" w:firstRowFirstColumn="0" w:firstRowLastColumn="0" w:lastRowFirstColumn="0" w:lastRowLastColumn="0"/>
            <w:tcW w:w="0" w:type="auto"/>
            <w:hideMark/>
          </w:tcPr>
          <w:p w:rsidR="002C665D" w:rsidRPr="002C665D" w:rsidRDefault="002C665D" w:rsidP="002C665D">
            <w:pPr>
              <w:spacing w:line="276" w:lineRule="auto"/>
              <w:rPr>
                <w:rFonts w:eastAsia="Times New Roman" w:cstheme="minorHAnsi"/>
                <w:sz w:val="20"/>
                <w:szCs w:val="20"/>
              </w:rPr>
            </w:pPr>
            <w:r w:rsidRPr="002C665D">
              <w:rPr>
                <w:rFonts w:eastAsia="Times New Roman" w:cstheme="minorHAnsi"/>
                <w:sz w:val="20"/>
                <w:szCs w:val="20"/>
              </w:rPr>
              <w:t>Graph Transformer</w:t>
            </w:r>
          </w:p>
        </w:tc>
        <w:tc>
          <w:tcPr>
            <w:tcW w:w="1150" w:type="dxa"/>
            <w:hideMark/>
          </w:tcPr>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Graphs + Transformer Encoder</w:t>
            </w:r>
          </w:p>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362" w:type="dxa"/>
            <w:hideMark/>
          </w:tcPr>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Global Connectivity</w:t>
            </w:r>
          </w:p>
        </w:tc>
        <w:tc>
          <w:tcPr>
            <w:tcW w:w="0" w:type="auto"/>
            <w:hideMark/>
          </w:tcPr>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Macromolecular</w:t>
            </w:r>
          </w:p>
        </w:tc>
        <w:tc>
          <w:tcPr>
            <w:tcW w:w="0" w:type="auto"/>
            <w:hideMark/>
          </w:tcPr>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Bypasses graph diameter; captures global topology</w:t>
            </w:r>
          </w:p>
        </w:tc>
        <w:tc>
          <w:tcPr>
            <w:tcW w:w="0" w:type="auto"/>
            <w:hideMark/>
          </w:tcPr>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vertAlign w:val="superscript"/>
              </w:rPr>
            </w:pPr>
            <w:r w:rsidRPr="002C665D">
              <w:rPr>
                <w:rFonts w:eastAsia="Times New Roman" w:cstheme="minorHAnsi"/>
                <w:sz w:val="20"/>
                <w:szCs w:val="20"/>
              </w:rPr>
              <w:t>High computational cost (N</w:t>
            </w:r>
            <w:r w:rsidRPr="002C665D">
              <w:rPr>
                <w:rFonts w:eastAsia="Times New Roman" w:cstheme="minorHAnsi"/>
                <w:sz w:val="20"/>
                <w:szCs w:val="20"/>
                <w:vertAlign w:val="superscript"/>
              </w:rPr>
              <w:t>2</w:t>
            </w:r>
          </w:p>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attention)</w:t>
            </w:r>
          </w:p>
        </w:tc>
        <w:tc>
          <w:tcPr>
            <w:tcW w:w="0" w:type="auto"/>
            <w:hideMark/>
          </w:tcPr>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Hierarchical networks; folded polymers</w:t>
            </w:r>
          </w:p>
        </w:tc>
      </w:tr>
      <w:tr w:rsidR="002C665D" w:rsidRPr="002C665D" w:rsidTr="00F02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C665D" w:rsidRPr="002C665D" w:rsidRDefault="002C665D" w:rsidP="002C665D">
            <w:pPr>
              <w:spacing w:line="276" w:lineRule="auto"/>
              <w:rPr>
                <w:rFonts w:eastAsia="Times New Roman" w:cstheme="minorHAnsi"/>
                <w:sz w:val="20"/>
                <w:szCs w:val="20"/>
              </w:rPr>
            </w:pPr>
            <w:r w:rsidRPr="002C665D">
              <w:rPr>
                <w:rFonts w:eastAsia="Times New Roman" w:cstheme="minorHAnsi"/>
                <w:sz w:val="20"/>
                <w:szCs w:val="20"/>
              </w:rPr>
              <w:t>Equivariant Graph Transformer</w:t>
            </w:r>
          </w:p>
        </w:tc>
        <w:tc>
          <w:tcPr>
            <w:tcW w:w="1150" w:type="dxa"/>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3D Point Clouds</w:t>
            </w:r>
          </w:p>
        </w:tc>
        <w:tc>
          <w:tcPr>
            <w:tcW w:w="1362" w:type="dxa"/>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E(3) / SE(3) Equivariance</w:t>
            </w:r>
          </w:p>
        </w:tc>
        <w:tc>
          <w:tcPr>
            <w:tcW w:w="0" w:type="auto"/>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Conformational</w:t>
            </w:r>
          </w:p>
        </w:tc>
        <w:tc>
          <w:tcPr>
            <w:tcW w:w="0" w:type="auto"/>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Symmetry-aware; respects 3D physical laws</w:t>
            </w:r>
          </w:p>
        </w:tc>
        <w:tc>
          <w:tcPr>
            <w:tcW w:w="0" w:type="auto"/>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High complexity; sensitive to 3D noise</w:t>
            </w:r>
          </w:p>
        </w:tc>
        <w:tc>
          <w:tcPr>
            <w:tcW w:w="0" w:type="auto"/>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Protein-mimetic folding; crystal packing</w:t>
            </w:r>
          </w:p>
        </w:tc>
      </w:tr>
      <w:tr w:rsidR="002C665D" w:rsidRPr="002C665D" w:rsidTr="00F02B89">
        <w:tc>
          <w:tcPr>
            <w:cnfStyle w:val="001000000000" w:firstRow="0" w:lastRow="0" w:firstColumn="1" w:lastColumn="0" w:oddVBand="0" w:evenVBand="0" w:oddHBand="0" w:evenHBand="0" w:firstRowFirstColumn="0" w:firstRowLastColumn="0" w:lastRowFirstColumn="0" w:lastRowLastColumn="0"/>
            <w:tcW w:w="0" w:type="auto"/>
            <w:hideMark/>
          </w:tcPr>
          <w:p w:rsidR="002C665D" w:rsidRPr="002C665D" w:rsidRDefault="002C665D" w:rsidP="002C665D">
            <w:pPr>
              <w:spacing w:line="276" w:lineRule="auto"/>
              <w:rPr>
                <w:rFonts w:eastAsia="Times New Roman" w:cstheme="minorHAnsi"/>
                <w:sz w:val="20"/>
                <w:szCs w:val="20"/>
              </w:rPr>
            </w:pPr>
            <w:r w:rsidRPr="002C665D">
              <w:rPr>
                <w:rFonts w:eastAsia="Times New Roman" w:cstheme="minorHAnsi"/>
                <w:sz w:val="20"/>
                <w:szCs w:val="20"/>
              </w:rPr>
              <w:t>Diffusion Model</w:t>
            </w:r>
          </w:p>
        </w:tc>
        <w:tc>
          <w:tcPr>
            <w:tcW w:w="1150" w:type="dxa"/>
            <w:hideMark/>
          </w:tcPr>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Graphs / Sequences</w:t>
            </w:r>
          </w:p>
        </w:tc>
        <w:tc>
          <w:tcPr>
            <w:tcW w:w="1362" w:type="dxa"/>
            <w:hideMark/>
          </w:tcPr>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Markovian Denoising</w:t>
            </w:r>
          </w:p>
        </w:tc>
        <w:tc>
          <w:tcPr>
            <w:tcW w:w="0" w:type="auto"/>
            <w:hideMark/>
          </w:tcPr>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Generative</w:t>
            </w:r>
          </w:p>
        </w:tc>
        <w:tc>
          <w:tcPr>
            <w:tcW w:w="0" w:type="auto"/>
            <w:hideMark/>
          </w:tcPr>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High sample diversity; stable training</w:t>
            </w:r>
          </w:p>
        </w:tc>
        <w:tc>
          <w:tcPr>
            <w:tcW w:w="0" w:type="auto"/>
            <w:hideMark/>
          </w:tcPr>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Synthesizability gap; slow sampling</w:t>
            </w:r>
          </w:p>
        </w:tc>
        <w:tc>
          <w:tcPr>
            <w:tcW w:w="0" w:type="auto"/>
            <w:hideMark/>
          </w:tcPr>
          <w:p w:rsidR="002C665D" w:rsidRPr="002C665D" w:rsidRDefault="002C665D" w:rsidP="002C665D">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Inverse design of performance materials</w:t>
            </w:r>
          </w:p>
        </w:tc>
      </w:tr>
      <w:tr w:rsidR="002C665D" w:rsidRPr="002C665D" w:rsidTr="00F02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C665D" w:rsidRPr="002C665D" w:rsidRDefault="002C665D" w:rsidP="002C665D">
            <w:pPr>
              <w:spacing w:line="276" w:lineRule="auto"/>
              <w:rPr>
                <w:rFonts w:eastAsia="Times New Roman" w:cstheme="minorHAnsi"/>
                <w:sz w:val="20"/>
                <w:szCs w:val="20"/>
              </w:rPr>
            </w:pPr>
            <w:r w:rsidRPr="002C665D">
              <w:rPr>
                <w:rFonts w:eastAsia="Times New Roman" w:cstheme="minorHAnsi"/>
                <w:sz w:val="20"/>
                <w:szCs w:val="20"/>
              </w:rPr>
              <w:t>PINN</w:t>
            </w:r>
          </w:p>
        </w:tc>
        <w:tc>
          <w:tcPr>
            <w:tcW w:w="1150" w:type="dxa"/>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Physics + Data</w:t>
            </w:r>
          </w:p>
        </w:tc>
        <w:tc>
          <w:tcPr>
            <w:tcW w:w="1362" w:type="dxa"/>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Domain Constraints</w:t>
            </w:r>
          </w:p>
        </w:tc>
        <w:tc>
          <w:tcPr>
            <w:tcW w:w="0" w:type="auto"/>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Multi-scale</w:t>
            </w:r>
          </w:p>
        </w:tc>
        <w:tc>
          <w:tcPr>
            <w:tcW w:w="0" w:type="auto"/>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Physically consistent; data efficient</w:t>
            </w:r>
          </w:p>
        </w:tc>
        <w:tc>
          <w:tcPr>
            <w:tcW w:w="0" w:type="auto"/>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Requires formal governing equations</w:t>
            </w:r>
          </w:p>
        </w:tc>
        <w:tc>
          <w:tcPr>
            <w:tcW w:w="0" w:type="auto"/>
            <w:hideMark/>
          </w:tcPr>
          <w:p w:rsidR="002C665D" w:rsidRPr="002C665D" w:rsidRDefault="002C665D" w:rsidP="002C665D">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C665D">
              <w:rPr>
                <w:rFonts w:eastAsia="Times New Roman" w:cstheme="minorHAnsi"/>
                <w:sz w:val="20"/>
                <w:szCs w:val="20"/>
              </w:rPr>
              <w:t>Processing kinetics; rheology prediction</w:t>
            </w:r>
          </w:p>
        </w:tc>
      </w:tr>
    </w:tbl>
    <w:p w:rsidR="002C665D" w:rsidRDefault="002C665D" w:rsidP="002C665D">
      <w:pPr>
        <w:spacing w:after="0" w:line="360" w:lineRule="auto"/>
        <w:jc w:val="both"/>
        <w:rPr>
          <w:rFonts w:cstheme="minorHAnsi"/>
          <w:sz w:val="20"/>
          <w:szCs w:val="20"/>
        </w:rPr>
      </w:pPr>
      <w:r w:rsidRPr="00DE4DC4">
        <w:rPr>
          <w:b/>
          <w:bCs/>
          <w:noProof/>
        </w:rPr>
        <mc:AlternateContent>
          <mc:Choice Requires="wps">
            <w:drawing>
              <wp:anchor distT="0" distB="0" distL="114300" distR="114300" simplePos="0" relativeHeight="251675648" behindDoc="0" locked="0" layoutInCell="1" allowOverlap="1" wp14:anchorId="58CBA102" wp14:editId="16ECB0D5">
                <wp:simplePos x="0" y="0"/>
                <wp:positionH relativeFrom="margin">
                  <wp:align>left</wp:align>
                </wp:positionH>
                <wp:positionV relativeFrom="paragraph">
                  <wp:posOffset>108585</wp:posOffset>
                </wp:positionV>
                <wp:extent cx="5876925" cy="409575"/>
                <wp:effectExtent l="0" t="0" r="9525" b="9525"/>
                <wp:wrapNone/>
                <wp:docPr id="40" name="Text Box 40"/>
                <wp:cNvGraphicFramePr/>
                <a:graphic xmlns:a="http://schemas.openxmlformats.org/drawingml/2006/main">
                  <a:graphicData uri="http://schemas.microsoft.com/office/word/2010/wordprocessingShape">
                    <wps:wsp>
                      <wps:cNvSpPr txBox="1"/>
                      <wps:spPr>
                        <a:xfrm>
                          <a:off x="0" y="0"/>
                          <a:ext cx="5876925" cy="409575"/>
                        </a:xfrm>
                        <a:prstGeom prst="rect">
                          <a:avLst/>
                        </a:prstGeom>
                        <a:solidFill>
                          <a:schemeClr val="lt1"/>
                        </a:solidFill>
                        <a:ln w="6350">
                          <a:noFill/>
                        </a:ln>
                      </wps:spPr>
                      <wps:txbx>
                        <w:txbxContent>
                          <w:p w:rsidR="005562ED" w:rsidRPr="002C665D" w:rsidRDefault="005562ED" w:rsidP="002C665D">
                            <w:pPr>
                              <w:rPr>
                                <w:rFonts w:cstheme="minorHAnsi"/>
                                <w:sz w:val="18"/>
                                <w:szCs w:val="18"/>
                              </w:rPr>
                            </w:pPr>
                            <w:r w:rsidRPr="002C665D">
                              <w:rPr>
                                <w:rFonts w:cstheme="minorHAnsi"/>
                                <w:b/>
                                <w:bCs/>
                                <w:sz w:val="18"/>
                                <w:szCs w:val="18"/>
                              </w:rPr>
                              <w:t>Table 6:</w:t>
                            </w:r>
                            <w:r w:rsidRPr="002C665D">
                              <w:rPr>
                                <w:rFonts w:cstheme="minorHAnsi"/>
                                <w:sz w:val="18"/>
                                <w:szCs w:val="18"/>
                              </w:rPr>
                              <w:t xml:space="preserve"> The Alignment Matrix for Polymer Deep Learning. A systematic mapping of input representations, architectural inductive biases, and structural scales for optimal model-task synchronization.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BA102" id="Text Box 40" o:spid="_x0000_s1033" type="#_x0000_t202" style="position:absolute;left:0;text-align:left;margin-left:0;margin-top:8.55pt;width:462.75pt;height:32.2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6zCRQIAAIIEAAAOAAAAZHJzL2Uyb0RvYy54bWysVE2P2jAQvVfqf7B8LwmUjyUirCgrqkqr&#10;3ZWg2rNxbBLJ8bi2IaG/vmOHsHTbU9WLGc9Mnmfem2Fx39aKnIR1FeicDgcpJUJzKCp9yOn33ebT&#10;HSXOM10wBVrk9CwcvV9+/LBoTCZGUIIqhCUIol3WmJyW3pssSRwvRc3cAIzQGJRga+bxag9JYVmD&#10;6LVKRmk6TRqwhbHAhXPofeiCdBnxpRTcP0vphCcqp1ibj6eN5z6cyXLBsoNlpqz4pQz2D1XUrNL4&#10;6BXqgXlGjrb6A6quuAUH0g841AlIWXERe8Buhum7brYlMyL2guQ4c6XJ/T9Y/nR6saQqcjpGejSr&#10;UaOdaD35Ai1BF/LTGJdh2tZgom/Rjzr3fofO0HYrbR1+sSGCcYQ6X9kNaBydk7vZdD6aUMIxNk7n&#10;k9kkwCRvXxvr/FcBNQlGTi2qF0llp0fnu9Q+JTzmQFXFplIqXsLEiLWy5MRQa+VjjQj+W5bSpMnp&#10;9PMkjcAawucdstJYS+i16ylYvt23kZtZ3+8eijPSYKEbJGf4psJaH5nzL8zi5GDnuA3+GQ+pAN+C&#10;i0VJCfbn3/whHwXFKCUNTmJO3Y8js4IS9U2j1PPhOGjj42U8mY3wYm8j+9uIPtZrQAKGuHeGRzPk&#10;e9Wb0kL9ikuzCq9iiGmOb+fU9+bad/uBS8fFahWTcFgN8496a3iADoQHJXbtK7PmIpdHoZ+gn1mW&#10;vVOtyw1falgdPcgqShp47li90I+DHofispRhk27vMevtr2P5CwAA//8DAFBLAwQUAAYACAAAACEA&#10;iNuRtd8AAAAGAQAADwAAAGRycy9kb3ducmV2LnhtbEyPS0/DMBCE70j8B2uRuCDqpFX6CHEqhHhI&#10;3NoAFTc3XpKIeB3FbhL+PcuJHndmNPNttp1sKwbsfeNIQTyLQCCVzjRUKXgrnm7XIHzQZHTrCBX8&#10;oIdtfnmR6dS4kXY47EMluIR8qhXUIXSplL6s0Wo/cx0Se1+utzrw2VfS9HrkctvKeRQtpdUN8UKt&#10;O3yosfzen6yCz5vq8Oqn5/dxkSy6x5ehWH2YQqnrq+n+DkTAKfyH4Q+f0SFnpqM7kfGiVcCPBFZX&#10;MQh2N/MkAXFUsI6XIPNMnuPnvwAAAP//AwBQSwECLQAUAAYACAAAACEAtoM4kv4AAADhAQAAEwAA&#10;AAAAAAAAAAAAAAAAAAAAW0NvbnRlbnRfVHlwZXNdLnhtbFBLAQItABQABgAIAAAAIQA4/SH/1gAA&#10;AJQBAAALAAAAAAAAAAAAAAAAAC8BAABfcmVscy8ucmVsc1BLAQItABQABgAIAAAAIQA5K6zCRQIA&#10;AIIEAAAOAAAAAAAAAAAAAAAAAC4CAABkcnMvZTJvRG9jLnhtbFBLAQItABQABgAIAAAAIQCI25G1&#10;3wAAAAYBAAAPAAAAAAAAAAAAAAAAAJ8EAABkcnMvZG93bnJldi54bWxQSwUGAAAAAAQABADzAAAA&#10;qwUAAAAA&#10;" fillcolor="white [3201]" stroked="f" strokeweight=".5pt">
                <v:textbox>
                  <w:txbxContent>
                    <w:p w:rsidR="005562ED" w:rsidRPr="002C665D" w:rsidRDefault="005562ED" w:rsidP="002C665D">
                      <w:pPr>
                        <w:rPr>
                          <w:rFonts w:cstheme="minorHAnsi"/>
                          <w:sz w:val="18"/>
                          <w:szCs w:val="18"/>
                        </w:rPr>
                      </w:pPr>
                      <w:r w:rsidRPr="002C665D">
                        <w:rPr>
                          <w:rFonts w:cstheme="minorHAnsi"/>
                          <w:b/>
                          <w:bCs/>
                          <w:sz w:val="18"/>
                          <w:szCs w:val="18"/>
                        </w:rPr>
                        <w:t>Table 6:</w:t>
                      </w:r>
                      <w:r w:rsidRPr="002C665D">
                        <w:rPr>
                          <w:rFonts w:cstheme="minorHAnsi"/>
                          <w:sz w:val="18"/>
                          <w:szCs w:val="18"/>
                        </w:rPr>
                        <w:t xml:space="preserve"> The Alignment Matrix for Polymer Deep Learning. A systematic mapping of input representations, architectural inductive biases, and structural scales for optimal model-task synchronization.</w:t>
                      </w:r>
                    </w:p>
                  </w:txbxContent>
                </v:textbox>
                <w10:wrap anchorx="margin"/>
              </v:shape>
            </w:pict>
          </mc:Fallback>
        </mc:AlternateContent>
      </w:r>
    </w:p>
    <w:p w:rsidR="002C665D" w:rsidRPr="006C7800" w:rsidRDefault="002C665D" w:rsidP="002C665D">
      <w:pPr>
        <w:spacing w:after="0" w:line="360" w:lineRule="auto"/>
        <w:jc w:val="both"/>
        <w:rPr>
          <w:rFonts w:cstheme="minorHAnsi"/>
          <w:sz w:val="20"/>
          <w:szCs w:val="20"/>
        </w:rPr>
      </w:pPr>
    </w:p>
    <w:p w:rsidR="002C665D" w:rsidRDefault="002C665D" w:rsidP="002C665D">
      <w:pPr>
        <w:spacing w:after="0" w:line="360" w:lineRule="auto"/>
        <w:jc w:val="both"/>
        <w:rPr>
          <w:rFonts w:cstheme="minorHAnsi"/>
          <w:b/>
          <w:bCs/>
        </w:rPr>
      </w:pPr>
    </w:p>
    <w:p w:rsidR="002C0810" w:rsidRPr="002C0810" w:rsidRDefault="00C57922" w:rsidP="002C665D">
      <w:pPr>
        <w:spacing w:after="0" w:line="360" w:lineRule="auto"/>
        <w:jc w:val="both"/>
        <w:rPr>
          <w:rFonts w:cstheme="minorHAnsi"/>
          <w:b/>
          <w:bCs/>
        </w:rPr>
      </w:pPr>
      <w:r w:rsidRPr="002C0810">
        <w:rPr>
          <w:rFonts w:cstheme="minorHAnsi"/>
          <w:b/>
          <w:bCs/>
        </w:rPr>
        <w:t xml:space="preserve">3.9 Future Outlook: Toward Next Generation Polymer Informatics Systems </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Polymer informatics transitions from isolated predictive models to integrated, autonomous discovery systems. Research directions defining the next decade include:</w:t>
      </w:r>
    </w:p>
    <w:p w:rsidR="00C57922" w:rsidRPr="006C7800" w:rsidRDefault="00C57922" w:rsidP="004D0E2F">
      <w:pPr>
        <w:numPr>
          <w:ilvl w:val="0"/>
          <w:numId w:val="24"/>
        </w:numPr>
        <w:spacing w:after="0" w:line="360" w:lineRule="auto"/>
        <w:jc w:val="both"/>
        <w:rPr>
          <w:rFonts w:cstheme="minorHAnsi"/>
          <w:sz w:val="20"/>
          <w:szCs w:val="20"/>
        </w:rPr>
      </w:pPr>
      <w:r w:rsidRPr="006C7800">
        <w:rPr>
          <w:rFonts w:cstheme="minorHAnsi"/>
          <w:sz w:val="20"/>
          <w:szCs w:val="20"/>
        </w:rPr>
        <w:t>Multimodal Foundation Models: Future systems will integrate specialized modules</w:t>
      </w:r>
      <w:r w:rsidR="00430310">
        <w:rPr>
          <w:rFonts w:cstheme="minorHAnsi"/>
          <w:sz w:val="20"/>
          <w:szCs w:val="20"/>
        </w:rPr>
        <w:t xml:space="preserve">, </w:t>
      </w:r>
      <w:r w:rsidRPr="006C7800">
        <w:rPr>
          <w:rFonts w:cstheme="minorHAnsi"/>
          <w:sz w:val="20"/>
          <w:szCs w:val="20"/>
        </w:rPr>
        <w:t>GNNs for topology, Transformers for sequences, PINNs for physics</w:t>
      </w:r>
      <w:r w:rsidR="00430310">
        <w:rPr>
          <w:rFonts w:cstheme="minorHAnsi"/>
          <w:sz w:val="20"/>
          <w:szCs w:val="20"/>
        </w:rPr>
        <w:t xml:space="preserve">, </w:t>
      </w:r>
      <w:r w:rsidRPr="006C7800">
        <w:rPr>
          <w:rFonts w:cstheme="minorHAnsi"/>
          <w:sz w:val="20"/>
          <w:szCs w:val="20"/>
        </w:rPr>
        <w:t>into unified frameworks pretrained on vast corpora, including simulation trajectories and scientific literature. These "Foundation Models" enable zero-shot or few-shot generalization across disparate polymer classes.</w:t>
      </w:r>
    </w:p>
    <w:p w:rsidR="00C57922" w:rsidRPr="006C7800" w:rsidRDefault="00C57922" w:rsidP="004D0E2F">
      <w:pPr>
        <w:numPr>
          <w:ilvl w:val="0"/>
          <w:numId w:val="24"/>
        </w:numPr>
        <w:spacing w:after="0" w:line="360" w:lineRule="auto"/>
        <w:jc w:val="both"/>
        <w:rPr>
          <w:rFonts w:cstheme="minorHAnsi"/>
          <w:sz w:val="20"/>
          <w:szCs w:val="20"/>
        </w:rPr>
      </w:pPr>
      <w:r w:rsidRPr="006C7800">
        <w:rPr>
          <w:rFonts w:cstheme="minorHAnsi"/>
          <w:sz w:val="20"/>
          <w:szCs w:val="20"/>
        </w:rPr>
        <w:lastRenderedPageBreak/>
        <w:t>Bridging the Simulation-to-Reality Gap: Discrepancies between computational predictions and experimental outcomes will be addressed through uncertainty-aware modeling [38] for risk-managed decision-making and multi-fidelity fusion aligning quantum-scale insights with coarse-grained and experimental data.</w:t>
      </w:r>
    </w:p>
    <w:p w:rsidR="00C57922" w:rsidRPr="002C0810" w:rsidRDefault="00C57922" w:rsidP="00F02B89">
      <w:pPr>
        <w:numPr>
          <w:ilvl w:val="0"/>
          <w:numId w:val="24"/>
        </w:numPr>
        <w:spacing w:after="0" w:line="360" w:lineRule="auto"/>
        <w:jc w:val="both"/>
        <w:rPr>
          <w:rFonts w:cstheme="minorHAnsi"/>
          <w:sz w:val="20"/>
          <w:szCs w:val="20"/>
        </w:rPr>
      </w:pPr>
      <w:r w:rsidRPr="002C0810">
        <w:rPr>
          <w:rFonts w:cstheme="minorHAnsi"/>
          <w:sz w:val="20"/>
          <w:szCs w:val="20"/>
        </w:rPr>
        <w:t>Macromolecular Scalability: To handle high molecular weight (</w:t>
      </w:r>
      <w:r w:rsidRPr="002C0810">
        <w:rPr>
          <w:rFonts w:cstheme="minorHAnsi"/>
          <w:i/>
          <w:iCs/>
          <w:sz w:val="20"/>
          <w:szCs w:val="20"/>
        </w:rPr>
        <w:t>Mw</w:t>
      </w:r>
      <w:r w:rsidRPr="002C0810">
        <w:rPr>
          <w:rFonts w:cstheme="minorHAnsi"/>
          <w:sz w:val="20"/>
          <w:szCs w:val="20"/>
        </w:rPr>
        <w:t>​) systems common in industry, advances in sub-quadratic attention and hierarchical message-passing are required to model ultra-long chains without computational bottlenecks.</w:t>
      </w:r>
    </w:p>
    <w:p w:rsidR="00C57922" w:rsidRPr="006C7800" w:rsidRDefault="00C57922" w:rsidP="004D0E2F">
      <w:pPr>
        <w:numPr>
          <w:ilvl w:val="0"/>
          <w:numId w:val="24"/>
        </w:numPr>
        <w:spacing w:after="0" w:line="360" w:lineRule="auto"/>
        <w:jc w:val="both"/>
        <w:rPr>
          <w:rFonts w:cstheme="minorHAnsi"/>
          <w:sz w:val="20"/>
          <w:szCs w:val="20"/>
        </w:rPr>
      </w:pPr>
      <w:r w:rsidRPr="006C7800">
        <w:rPr>
          <w:rFonts w:cstheme="minorHAnsi"/>
          <w:sz w:val="20"/>
          <w:szCs w:val="20"/>
        </w:rPr>
        <w:t>Neuro-Symbolic and Trustworthy Design: Generative AI will be "guided" by symbolic chemical logic. This includes hard-coding polymerization rules and using retrosynthesis predictors to ensure "paper polymers" are replaced by laboratory-ready candidates.</w:t>
      </w:r>
    </w:p>
    <w:p w:rsidR="00C57922" w:rsidRPr="006C7800" w:rsidRDefault="00C57922" w:rsidP="004D0E2F">
      <w:pPr>
        <w:numPr>
          <w:ilvl w:val="0"/>
          <w:numId w:val="24"/>
        </w:numPr>
        <w:spacing w:after="0" w:line="360" w:lineRule="auto"/>
        <w:jc w:val="both"/>
        <w:rPr>
          <w:rFonts w:cstheme="minorHAnsi"/>
          <w:sz w:val="20"/>
          <w:szCs w:val="20"/>
        </w:rPr>
      </w:pPr>
      <w:r w:rsidRPr="006C7800">
        <w:rPr>
          <w:rFonts w:cstheme="minorHAnsi"/>
          <w:sz w:val="20"/>
          <w:szCs w:val="20"/>
        </w:rPr>
        <w:t>Interpretability as a Functional Requirement: Systems must move beyond “black</w:t>
      </w:r>
      <w:r w:rsidRPr="006C7800">
        <w:rPr>
          <w:rFonts w:cstheme="minorHAnsi"/>
          <w:sz w:val="20"/>
          <w:szCs w:val="20"/>
        </w:rPr>
        <w:noBreakHyphen/>
        <w:t>box” predictions toward mechanistic insights. Techniques like attention visualization, causal discovery [42,106], and model-agnostic explanation methods [89, 120] allow researchers to identify specific design principles (e.g., specific sequence motifs) driving bulk performance.</w:t>
      </w:r>
    </w:p>
    <w:p w:rsidR="00C57922" w:rsidRDefault="00C57922" w:rsidP="004D0E2F">
      <w:pPr>
        <w:numPr>
          <w:ilvl w:val="0"/>
          <w:numId w:val="24"/>
        </w:numPr>
        <w:spacing w:after="0" w:line="360" w:lineRule="auto"/>
        <w:jc w:val="both"/>
        <w:rPr>
          <w:rFonts w:cstheme="minorHAnsi"/>
          <w:sz w:val="20"/>
          <w:szCs w:val="20"/>
        </w:rPr>
      </w:pPr>
      <w:r w:rsidRPr="006C7800">
        <w:rPr>
          <w:rFonts w:cstheme="minorHAnsi"/>
          <w:sz w:val="20"/>
          <w:szCs w:val="20"/>
        </w:rPr>
        <w:t>Autonomous, Closed-Loop Discovery: The ultimate vision is a fully autonomous loop integrating generative models, property predictors, and robotic experimentation. These systems will propose, synthesize, and test novel materials iteratively, transforming deep learning from a passive tool into an active discovery partner. This closed-loop, AI-driven paradigm is exemplified by landmark applications like deep-learning-driven antibiotic identification [135], demonstrating iteratively guided design yields experimentally validated impact.</w:t>
      </w:r>
    </w:p>
    <w:p w:rsidR="002C665D" w:rsidRDefault="002C665D" w:rsidP="002C665D">
      <w:pPr>
        <w:spacing w:after="0" w:line="360" w:lineRule="auto"/>
        <w:ind w:left="720"/>
        <w:jc w:val="center"/>
        <w:rPr>
          <w:rFonts w:cstheme="minorHAnsi"/>
          <w:sz w:val="20"/>
          <w:szCs w:val="20"/>
        </w:rPr>
      </w:pPr>
      <w:r>
        <w:rPr>
          <w:rFonts w:cstheme="minorHAnsi"/>
          <w:noProof/>
          <w:sz w:val="20"/>
          <w:szCs w:val="20"/>
        </w:rPr>
        <w:drawing>
          <wp:inline distT="0" distB="0" distL="0" distR="0" wp14:anchorId="0F8D1BDA">
            <wp:extent cx="4114800" cy="2019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14800" cy="2019300"/>
                    </a:xfrm>
                    <a:prstGeom prst="rect">
                      <a:avLst/>
                    </a:prstGeom>
                    <a:noFill/>
                  </pic:spPr>
                </pic:pic>
              </a:graphicData>
            </a:graphic>
          </wp:inline>
        </w:drawing>
      </w:r>
    </w:p>
    <w:p w:rsidR="002C665D" w:rsidRDefault="002C665D" w:rsidP="002C665D">
      <w:pPr>
        <w:spacing w:after="0" w:line="360" w:lineRule="auto"/>
        <w:ind w:left="720"/>
        <w:jc w:val="both"/>
        <w:rPr>
          <w:rFonts w:cstheme="minorHAnsi"/>
          <w:sz w:val="20"/>
          <w:szCs w:val="20"/>
        </w:rPr>
      </w:pPr>
      <w:r w:rsidRPr="00DE4DC4">
        <w:rPr>
          <w:b/>
          <w:bCs/>
          <w:noProof/>
        </w:rPr>
        <mc:AlternateContent>
          <mc:Choice Requires="wps">
            <w:drawing>
              <wp:anchor distT="0" distB="0" distL="114300" distR="114300" simplePos="0" relativeHeight="251677696" behindDoc="0" locked="0" layoutInCell="1" allowOverlap="1" wp14:anchorId="5E022373" wp14:editId="1316C9EC">
                <wp:simplePos x="0" y="0"/>
                <wp:positionH relativeFrom="margin">
                  <wp:align>right</wp:align>
                </wp:positionH>
                <wp:positionV relativeFrom="paragraph">
                  <wp:posOffset>3810</wp:posOffset>
                </wp:positionV>
                <wp:extent cx="5267325" cy="561975"/>
                <wp:effectExtent l="0" t="0" r="9525" b="9525"/>
                <wp:wrapNone/>
                <wp:docPr id="32" name="Text Box 32"/>
                <wp:cNvGraphicFramePr/>
                <a:graphic xmlns:a="http://schemas.openxmlformats.org/drawingml/2006/main">
                  <a:graphicData uri="http://schemas.microsoft.com/office/word/2010/wordprocessingShape">
                    <wps:wsp>
                      <wps:cNvSpPr txBox="1"/>
                      <wps:spPr>
                        <a:xfrm flipH="1">
                          <a:off x="0" y="0"/>
                          <a:ext cx="5267325" cy="561975"/>
                        </a:xfrm>
                        <a:prstGeom prst="rect">
                          <a:avLst/>
                        </a:prstGeom>
                        <a:solidFill>
                          <a:schemeClr val="lt1"/>
                        </a:solidFill>
                        <a:ln w="6350">
                          <a:noFill/>
                        </a:ln>
                      </wps:spPr>
                      <wps:txbx>
                        <w:txbxContent>
                          <w:p w:rsidR="005562ED" w:rsidRPr="002C665D" w:rsidRDefault="005562ED" w:rsidP="002C665D">
                            <w:pPr>
                              <w:spacing w:after="0"/>
                              <w:rPr>
                                <w:rFonts w:cstheme="minorHAnsi"/>
                                <w:sz w:val="18"/>
                                <w:szCs w:val="18"/>
                              </w:rPr>
                            </w:pPr>
                            <w:r w:rsidRPr="002C665D">
                              <w:rPr>
                                <w:rFonts w:cstheme="minorHAnsi"/>
                                <w:b/>
                                <w:bCs/>
                                <w:sz w:val="18"/>
                                <w:szCs w:val="18"/>
                              </w:rPr>
                              <w:t>Figure 3:</w:t>
                            </w:r>
                            <w:r w:rsidRPr="002C665D">
                              <w:rPr>
                                <w:rFonts w:cstheme="minorHAnsi"/>
                                <w:sz w:val="18"/>
                                <w:szCs w:val="18"/>
                              </w:rPr>
                              <w:t xml:space="preserve"> Mapping the Deep Learning Landscape for Polymer Informatics. A strategic overview of current neural network paradigms, detailing inputs, tasks, and compatible data types for effective model selection across various polymer research objectives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22373" id="Text Box 32" o:spid="_x0000_s1034" type="#_x0000_t202" style="position:absolute;left:0;text-align:left;margin-left:363.55pt;margin-top:.3pt;width:414.75pt;height:44.25pt;flip:x;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LSSwIAAIwEAAAOAAAAZHJzL2Uyb0RvYy54bWysVE2P2jAQvVfqf7B8L+GbXURYUVa0ldDu&#10;SlDt2Tg2WHI8rm1I6K/v2CEs3fZU9WKNZ16eZ+bNZPZQl5qchPMKTE57nS4lwnAolNnn9Pt29emO&#10;Eh+YKZgGI3J6Fp4+zD9+mFV2KvpwAF0IR5DE+Gllc3oIwU6zzPODKJnvgBUGgxJcyQJe3T4rHKuQ&#10;vdRZv9sdZxW4wjrgwnv0PjZBOk/8UgoenqX0IhCdU8wtpNOlcxfPbD5j071j9qD4JQ32D1mUTBl8&#10;9Er1yAIjR6f+oCoVd+BBhg6HMgMpFRepBqym131XzebArEi1YHO8vbbJ/z9a/nR6cUQVOR30KTGs&#10;RI22og7kM9QEXdifyvopwjYWgaFGP+rc+j06Y9m1dCWRWtmvMRg9WBpBJPb8fO1z5OXoHPXHk0F/&#10;RAnH2Gjcu5+MImHW8MSvrfPhi4CSRCOnDnVMrOy09qGBtpAI96BVsVJap0ucHbHUjpwYqq5DyhbJ&#10;f0NpQ6qcjgejbiI2ED9vmLXBXGLVTXXRCvWuTl26ayvfQXHGhjhoRspbvlKY65r58MIczhBWjnsR&#10;nvGQGvAtuFiUHMD9/Js/4lFajFJS4Uzm1P84Mico0d8Min7fGw7jEKfLcDTp48XdRna3EXMsl4AN&#10;6OEGWp7MiA+6NaWD8hXXZxFfxRAzHN/OaWjNZWg2BdePi8UigXBsLQtrs7G8lToqsa1fmbMXuQIK&#10;/QTt9LLpO9UabJTKwOIYQKokaexz09VL+3Hk01Bc1jPu1O09od5+IvNfAAAA//8DAFBLAwQUAAYA&#10;CAAAACEArynB1NgAAAAEAQAADwAAAGRycy9kb3ducmV2LnhtbEyPQU+DQBCF7yb+h8008WYXiCJQ&#10;loaY1HtR71t2BAI7S9htS/31jie9zct7ee+bcr/aSVxw8YMjBfE2AoHUOjNQp+Dj/fCYgfBBk9GT&#10;I1RwQw/76v6u1IVxVzripQmd4BLyhVbQhzAXUvq2R6v91s1I7H25xerAcumkWfSVy+0kkyhKpdUD&#10;8UKvZ3ztsR2bs1XwRGnzeTvm8bjK7zobX94OTZ0o9bBZ6x2IgGv4C8MvPqNDxUwndybjxaSAHwkK&#10;UhDsZUn+DOLERx6DrEr5H776AQAA//8DAFBLAQItABQABgAIAAAAIQC2gziS/gAAAOEBAAATAAAA&#10;AAAAAAAAAAAAAAAAAABbQ29udGVudF9UeXBlc10ueG1sUEsBAi0AFAAGAAgAAAAhADj9If/WAAAA&#10;lAEAAAsAAAAAAAAAAAAAAAAALwEAAF9yZWxzLy5yZWxzUEsBAi0AFAAGAAgAAAAhAILOQtJLAgAA&#10;jAQAAA4AAAAAAAAAAAAAAAAALgIAAGRycy9lMm9Eb2MueG1sUEsBAi0AFAAGAAgAAAAhAK8pwdTY&#10;AAAABAEAAA8AAAAAAAAAAAAAAAAApQQAAGRycy9kb3ducmV2LnhtbFBLBQYAAAAABAAEAPMAAACq&#10;BQAAAAA=&#10;" fillcolor="white [3201]" stroked="f" strokeweight=".5pt">
                <v:textbox>
                  <w:txbxContent>
                    <w:p w:rsidR="005562ED" w:rsidRPr="002C665D" w:rsidRDefault="005562ED" w:rsidP="002C665D">
                      <w:pPr>
                        <w:spacing w:after="0"/>
                        <w:rPr>
                          <w:rFonts w:cstheme="minorHAnsi"/>
                          <w:sz w:val="18"/>
                          <w:szCs w:val="18"/>
                        </w:rPr>
                      </w:pPr>
                      <w:r w:rsidRPr="002C665D">
                        <w:rPr>
                          <w:rFonts w:cstheme="minorHAnsi"/>
                          <w:b/>
                          <w:bCs/>
                          <w:sz w:val="18"/>
                          <w:szCs w:val="18"/>
                        </w:rPr>
                        <w:t>Figure 3:</w:t>
                      </w:r>
                      <w:r w:rsidRPr="002C665D">
                        <w:rPr>
                          <w:rFonts w:cstheme="minorHAnsi"/>
                          <w:sz w:val="18"/>
                          <w:szCs w:val="18"/>
                        </w:rPr>
                        <w:t xml:space="preserve"> Mapping the Deep Learning Landscape for Polymer Informatics. A strategic overview of current neural network paradigms, detailing inputs, tasks, and compatible data types for effective model selection across various polymer research objectives</w:t>
                      </w:r>
                    </w:p>
                  </w:txbxContent>
                </v:textbox>
                <w10:wrap anchorx="margin"/>
              </v:shape>
            </w:pict>
          </mc:Fallback>
        </mc:AlternateContent>
      </w:r>
    </w:p>
    <w:p w:rsidR="002C665D" w:rsidRPr="006C7800" w:rsidRDefault="002C665D" w:rsidP="002C665D">
      <w:pPr>
        <w:spacing w:after="0" w:line="360" w:lineRule="auto"/>
        <w:ind w:left="720"/>
        <w:jc w:val="both"/>
        <w:rPr>
          <w:rFonts w:cstheme="minorHAnsi"/>
          <w:sz w:val="20"/>
          <w:szCs w:val="20"/>
        </w:rPr>
      </w:pPr>
    </w:p>
    <w:p w:rsidR="002C665D" w:rsidRDefault="002C665D" w:rsidP="002C665D">
      <w:pPr>
        <w:spacing w:after="0" w:line="360" w:lineRule="auto"/>
        <w:jc w:val="both"/>
        <w:rPr>
          <w:rFonts w:cstheme="minorHAnsi"/>
          <w:b/>
          <w:bCs/>
          <w:sz w:val="24"/>
          <w:szCs w:val="24"/>
        </w:rPr>
      </w:pPr>
    </w:p>
    <w:p w:rsidR="00C57922" w:rsidRPr="002C0810" w:rsidRDefault="00C57922" w:rsidP="002C665D">
      <w:pPr>
        <w:spacing w:line="360" w:lineRule="auto"/>
        <w:jc w:val="both"/>
        <w:rPr>
          <w:rFonts w:cstheme="minorHAnsi"/>
          <w:b/>
          <w:bCs/>
          <w:sz w:val="24"/>
          <w:szCs w:val="24"/>
        </w:rPr>
      </w:pPr>
      <w:r w:rsidRPr="002C0810">
        <w:rPr>
          <w:rFonts w:cstheme="minorHAnsi"/>
          <w:b/>
          <w:bCs/>
          <w:sz w:val="24"/>
          <w:szCs w:val="24"/>
        </w:rPr>
        <w:t>4. Benchmarking and Evaluation Practices in Polymer Informatics</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lastRenderedPageBreak/>
        <w:t>Reliable progress in polymer informatics depends on rigorous, transparent, and domain-aware evaluation [137]. As models grow complex and datasets heterogeneous, benchmarking practices must evolve to ensure reproducibility, comparability, and scientific validity. Unlike small-molecule ML, polymer systems introduce additional challenges requiring explicit accounting. This section establishes a comprehensive evaluation framework spanning data sourcing, splitting strategies, performance metrics, uncertainty quantification, and standardized benchmarks.</w:t>
      </w:r>
    </w:p>
    <w:p w:rsidR="00C57922" w:rsidRPr="002C0810" w:rsidRDefault="00C57922" w:rsidP="002C0810">
      <w:pPr>
        <w:spacing w:before="240" w:after="0" w:line="360" w:lineRule="auto"/>
        <w:jc w:val="both"/>
        <w:rPr>
          <w:rFonts w:cstheme="minorHAnsi"/>
          <w:b/>
          <w:bCs/>
        </w:rPr>
      </w:pPr>
      <w:r w:rsidRPr="002C0810">
        <w:rPr>
          <w:rFonts w:cstheme="minorHAnsi"/>
          <w:b/>
          <w:bCs/>
        </w:rPr>
        <w:t>4.1 The Data Ecosystem: Sources, Curation, and Inherent Gaps</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Deep learning models are only as reliable as their training data. Polymer informatics relies on a diverse ecosystem where experimental repositories, simulation outputs, and synthetic corpora provide complementary strengths.</w:t>
      </w:r>
    </w:p>
    <w:p w:rsidR="00C57922" w:rsidRPr="002C0810" w:rsidRDefault="00C57922" w:rsidP="002C0810">
      <w:pPr>
        <w:spacing w:before="240" w:after="0" w:line="360" w:lineRule="auto"/>
        <w:jc w:val="both"/>
        <w:rPr>
          <w:rFonts w:cstheme="minorHAnsi"/>
          <w:b/>
          <w:bCs/>
        </w:rPr>
      </w:pPr>
      <w:r w:rsidRPr="002C0810">
        <w:rPr>
          <w:rFonts w:cstheme="minorHAnsi"/>
          <w:b/>
          <w:bCs/>
        </w:rPr>
        <w:t>4.1.1 The Multi-Fidelity Data Landscape</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Diversity of polymer data sources allows a multi-layered approach to model training, moving from broad experimental benchmarks to high-fidelity niche datasets.</w:t>
      </w:r>
    </w:p>
    <w:p w:rsidR="00C57922" w:rsidRPr="002C0810" w:rsidRDefault="00C57922" w:rsidP="004D0E2F">
      <w:pPr>
        <w:numPr>
          <w:ilvl w:val="0"/>
          <w:numId w:val="25"/>
        </w:numPr>
        <w:spacing w:after="0" w:line="360" w:lineRule="auto"/>
        <w:jc w:val="both"/>
        <w:rPr>
          <w:rFonts w:cstheme="minorHAnsi"/>
          <w:b/>
          <w:bCs/>
          <w:sz w:val="20"/>
          <w:szCs w:val="20"/>
        </w:rPr>
      </w:pPr>
      <w:r w:rsidRPr="002C0810">
        <w:rPr>
          <w:rFonts w:cstheme="minorHAnsi"/>
          <w:b/>
          <w:bCs/>
          <w:sz w:val="20"/>
          <w:szCs w:val="20"/>
        </w:rPr>
        <w:t>Core Experimental Repositories:</w:t>
      </w:r>
    </w:p>
    <w:p w:rsidR="00C57922" w:rsidRPr="006C7800" w:rsidRDefault="00C57922" w:rsidP="004D0E2F">
      <w:pPr>
        <w:numPr>
          <w:ilvl w:val="1"/>
          <w:numId w:val="25"/>
        </w:numPr>
        <w:spacing w:after="0" w:line="360" w:lineRule="auto"/>
        <w:jc w:val="both"/>
        <w:rPr>
          <w:rFonts w:cstheme="minorHAnsi"/>
          <w:sz w:val="20"/>
          <w:szCs w:val="20"/>
        </w:rPr>
      </w:pPr>
      <w:r w:rsidRPr="002C0810">
        <w:rPr>
          <w:rFonts w:cstheme="minorHAnsi"/>
          <w:b/>
          <w:bCs/>
          <w:sz w:val="20"/>
          <w:szCs w:val="20"/>
        </w:rPr>
        <w:t>PolyInfo (NIMS, Japan) [113]:</w:t>
      </w:r>
      <w:r w:rsidRPr="006C7800">
        <w:rPr>
          <w:rFonts w:cstheme="minorHAnsi"/>
          <w:sz w:val="20"/>
          <w:szCs w:val="20"/>
        </w:rPr>
        <w:t xml:space="preserve"> The most comprehensive experimental database, containing hundreds of thousands of property records for ~26,000 polymers. While the de facto benchmarking standard, it suffers from semi-public redistribution restrictions and inconsistent metadata.</w:t>
      </w:r>
    </w:p>
    <w:p w:rsidR="00C57922" w:rsidRPr="006C7800" w:rsidRDefault="00C57922" w:rsidP="004D0E2F">
      <w:pPr>
        <w:numPr>
          <w:ilvl w:val="1"/>
          <w:numId w:val="25"/>
        </w:numPr>
        <w:spacing w:after="0" w:line="360" w:lineRule="auto"/>
        <w:jc w:val="both"/>
        <w:rPr>
          <w:rFonts w:cstheme="minorHAnsi"/>
          <w:sz w:val="20"/>
          <w:szCs w:val="20"/>
        </w:rPr>
      </w:pPr>
      <w:r w:rsidRPr="002C0810">
        <w:rPr>
          <w:rFonts w:cstheme="minorHAnsi"/>
          <w:b/>
          <w:bCs/>
          <w:sz w:val="20"/>
          <w:szCs w:val="20"/>
        </w:rPr>
        <w:t>Polymer Genome [114]:</w:t>
      </w:r>
      <w:r w:rsidRPr="006C7800">
        <w:rPr>
          <w:rFonts w:cstheme="minorHAnsi"/>
          <w:sz w:val="20"/>
          <w:szCs w:val="20"/>
        </w:rPr>
        <w:t xml:space="preserve"> A hybrid platform integrating experimental data with DFT-derived descriptors and hierarchical fingerprints, functioning as both a database and an ML-powered prediction engine.</w:t>
      </w:r>
    </w:p>
    <w:p w:rsidR="00C57922" w:rsidRPr="006C7800" w:rsidRDefault="00C57922" w:rsidP="004D0E2F">
      <w:pPr>
        <w:numPr>
          <w:ilvl w:val="1"/>
          <w:numId w:val="25"/>
        </w:numPr>
        <w:spacing w:after="0" w:line="360" w:lineRule="auto"/>
        <w:jc w:val="both"/>
        <w:rPr>
          <w:rFonts w:cstheme="minorHAnsi"/>
          <w:sz w:val="20"/>
          <w:szCs w:val="20"/>
        </w:rPr>
      </w:pPr>
      <w:r w:rsidRPr="002C0810">
        <w:rPr>
          <w:rFonts w:cstheme="minorHAnsi"/>
          <w:b/>
          <w:bCs/>
          <w:sz w:val="20"/>
          <w:szCs w:val="20"/>
        </w:rPr>
        <w:t>Specialized Repositories:</w:t>
      </w:r>
      <w:r w:rsidRPr="006C7800">
        <w:rPr>
          <w:rFonts w:cstheme="minorHAnsi"/>
          <w:sz w:val="20"/>
          <w:szCs w:val="20"/>
        </w:rPr>
        <w:t xml:space="preserve"> High-fidelity niche datasets provide critical coverage for specific physics: NIST Polymer Data [101] (mechanical/thermal), polydat [112] (biodegradation kinetics), and nanopolybase [100] (nanocomposites). These are essential for fine-tuning but limited in scale.</w:t>
      </w:r>
    </w:p>
    <w:p w:rsidR="00C57922" w:rsidRPr="002C0810" w:rsidRDefault="00C57922" w:rsidP="004D0E2F">
      <w:pPr>
        <w:numPr>
          <w:ilvl w:val="0"/>
          <w:numId w:val="25"/>
        </w:numPr>
        <w:spacing w:after="0" w:line="360" w:lineRule="auto"/>
        <w:jc w:val="both"/>
        <w:rPr>
          <w:rFonts w:cstheme="minorHAnsi"/>
          <w:b/>
          <w:bCs/>
          <w:sz w:val="20"/>
          <w:szCs w:val="20"/>
        </w:rPr>
      </w:pPr>
      <w:r w:rsidRPr="002C0810">
        <w:rPr>
          <w:rFonts w:cstheme="minorHAnsi"/>
          <w:b/>
          <w:bCs/>
          <w:sz w:val="20"/>
          <w:szCs w:val="20"/>
        </w:rPr>
        <w:t>Simulation-Derived and Synthetic Sources:</w:t>
      </w:r>
    </w:p>
    <w:p w:rsidR="00C57922" w:rsidRPr="006C7800" w:rsidRDefault="00C57922" w:rsidP="004D0E2F">
      <w:pPr>
        <w:numPr>
          <w:ilvl w:val="1"/>
          <w:numId w:val="25"/>
        </w:numPr>
        <w:spacing w:after="0" w:line="360" w:lineRule="auto"/>
        <w:jc w:val="both"/>
        <w:rPr>
          <w:rFonts w:cstheme="minorHAnsi"/>
          <w:sz w:val="20"/>
          <w:szCs w:val="20"/>
        </w:rPr>
      </w:pPr>
      <w:r w:rsidRPr="002C0810">
        <w:rPr>
          <w:rFonts w:cstheme="minorHAnsi"/>
          <w:b/>
          <w:bCs/>
          <w:sz w:val="20"/>
          <w:szCs w:val="20"/>
        </w:rPr>
        <w:t>High-Throughput Simulations:</w:t>
      </w:r>
      <w:r w:rsidRPr="006C7800">
        <w:rPr>
          <w:rFonts w:cstheme="minorHAnsi"/>
          <w:sz w:val="20"/>
          <w:szCs w:val="20"/>
        </w:rPr>
        <w:t xml:space="preserve"> MD and SCFT simulations generate consistent, noise-free data on chain dynamics and morphology. While exhibiting a "reality gap" relative to experiments, they are vital for pre-training in data-scarce regimes.</w:t>
      </w:r>
    </w:p>
    <w:p w:rsidR="00C57922" w:rsidRPr="006C7800" w:rsidRDefault="00C57922" w:rsidP="004D0E2F">
      <w:pPr>
        <w:numPr>
          <w:ilvl w:val="1"/>
          <w:numId w:val="25"/>
        </w:numPr>
        <w:spacing w:after="0" w:line="360" w:lineRule="auto"/>
        <w:jc w:val="both"/>
        <w:rPr>
          <w:rFonts w:cstheme="minorHAnsi"/>
          <w:sz w:val="20"/>
          <w:szCs w:val="20"/>
        </w:rPr>
      </w:pPr>
      <w:r w:rsidRPr="002C0810">
        <w:rPr>
          <w:rFonts w:cstheme="minorHAnsi"/>
          <w:b/>
          <w:bCs/>
          <w:sz w:val="20"/>
          <w:szCs w:val="20"/>
        </w:rPr>
        <w:t xml:space="preserve">Synthetic Corpora: </w:t>
      </w:r>
      <w:r w:rsidRPr="006C7800">
        <w:rPr>
          <w:rFonts w:cstheme="minorHAnsi"/>
          <w:sz w:val="20"/>
          <w:szCs w:val="20"/>
        </w:rPr>
        <w:t>Large-scale artificial datasets like PI1M [108] (~1M polymer SMILES) support development of Transformers and Diffusion models, overcoming lack of labeled experimental structures.</w:t>
      </w:r>
    </w:p>
    <w:p w:rsidR="00C57922" w:rsidRPr="006C7800" w:rsidRDefault="00C57922" w:rsidP="004D0E2F">
      <w:pPr>
        <w:numPr>
          <w:ilvl w:val="1"/>
          <w:numId w:val="25"/>
        </w:numPr>
        <w:spacing w:after="0" w:line="360" w:lineRule="auto"/>
        <w:jc w:val="both"/>
        <w:rPr>
          <w:rFonts w:cstheme="minorHAnsi"/>
          <w:sz w:val="20"/>
          <w:szCs w:val="20"/>
        </w:rPr>
      </w:pPr>
      <w:r w:rsidRPr="002C0810">
        <w:rPr>
          <w:rFonts w:cstheme="minorHAnsi"/>
          <w:b/>
          <w:bCs/>
          <w:sz w:val="20"/>
          <w:szCs w:val="20"/>
        </w:rPr>
        <w:t>NLP-Mined "Dark Data":</w:t>
      </w:r>
      <w:r w:rsidRPr="006C7800">
        <w:rPr>
          <w:rFonts w:cstheme="minorHAnsi"/>
          <w:sz w:val="20"/>
          <w:szCs w:val="20"/>
        </w:rPr>
        <w:t xml:space="preserve"> NLP pipelines extract structured data from millions of articles and patents. This expands coverage to proprietary or rare polymers but introduces significant noise requiring rigorous cleaning. NLP tools like ChemDataExtractor [138] extract polymer data from literature, though noise and inconsistent reporting remain challenges.</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Broader chemical databases [59, 133], automated data</w:t>
      </w:r>
      <w:r w:rsidRPr="006C7800">
        <w:rPr>
          <w:rFonts w:cstheme="minorHAnsi"/>
          <w:sz w:val="20"/>
          <w:szCs w:val="20"/>
        </w:rPr>
        <w:noBreakHyphen/>
        <w:t>extraction tools [21, 30], collective</w:t>
      </w:r>
      <w:r w:rsidRPr="006C7800">
        <w:rPr>
          <w:rFonts w:cstheme="minorHAnsi"/>
          <w:sz w:val="20"/>
          <w:szCs w:val="20"/>
        </w:rPr>
        <w:noBreakHyphen/>
        <w:t>knowledge approaches [60], and materials</w:t>
      </w:r>
      <w:r w:rsidRPr="006C7800">
        <w:rPr>
          <w:rFonts w:cstheme="minorHAnsi"/>
          <w:sz w:val="20"/>
          <w:szCs w:val="20"/>
        </w:rPr>
        <w:noBreakHyphen/>
        <w:t>project platforms [61, 92] illustrate scalable infrastructure available for polymer informatics, though careful curation remains essential to ensure data quality.</w:t>
      </w:r>
    </w:p>
    <w:p w:rsidR="00C57922" w:rsidRPr="002C0810" w:rsidRDefault="00C57922" w:rsidP="002C0810">
      <w:pPr>
        <w:spacing w:before="240" w:after="0" w:line="360" w:lineRule="auto"/>
        <w:jc w:val="both"/>
        <w:rPr>
          <w:rFonts w:cstheme="minorHAnsi"/>
          <w:b/>
          <w:bCs/>
        </w:rPr>
      </w:pPr>
      <w:r w:rsidRPr="002C0810">
        <w:rPr>
          <w:rFonts w:cstheme="minorHAnsi"/>
          <w:b/>
          <w:bCs/>
        </w:rPr>
        <w:lastRenderedPageBreak/>
        <w:t>4.1.2 The Metadata Crisis and "Ensemble Neglect"</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Beyond data scarcity, polymer informatics faces a fundamental barrier: a metadata crisis. Critical contextual information</w:t>
      </w:r>
      <w:r w:rsidR="00430310">
        <w:rPr>
          <w:rFonts w:cstheme="minorHAnsi"/>
          <w:sz w:val="20"/>
          <w:szCs w:val="20"/>
        </w:rPr>
        <w:t xml:space="preserve">, </w:t>
      </w:r>
      <w:r w:rsidRPr="006C7800">
        <w:rPr>
          <w:rFonts w:cstheme="minorHAnsi"/>
          <w:sz w:val="20"/>
          <w:szCs w:val="20"/>
        </w:rPr>
        <w:t>processing history (cooling rates, shear), sample conditioning, and ensemble descriptors like molecular weight distributions (MWD) and copolymer sequence statistics</w:t>
      </w:r>
      <w:r w:rsidR="00430310">
        <w:rPr>
          <w:rFonts w:cstheme="minorHAnsi"/>
          <w:sz w:val="20"/>
          <w:szCs w:val="20"/>
        </w:rPr>
        <w:t xml:space="preserve">, </w:t>
      </w:r>
      <w:r w:rsidRPr="006C7800">
        <w:rPr>
          <w:rFonts w:cstheme="minorHAnsi"/>
          <w:sz w:val="20"/>
          <w:szCs w:val="20"/>
        </w:rPr>
        <w:t>is routinely absent. This omission forces a critical simplification termed “ensemble neglect,” where intrinsic polymer stochasticity is reduced to a single average value.</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The consequence is a systematic “reality gap.” Models trained on data suffering from ensemble neglect predict properties for a non-existent, average chain. They fail to capture how the high-MW tail dictates viscosity or how sequence dispersity controls phase behavior, leading to inflated benchmark performance collapsing in real-world applications where full distributions matter.</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Closing this gap requires a paradigm shift in data reporting. Future progress depends on the community adopting mandatory, standardized metadata schemas capturing processing pathways and ensemble characteristics with rigor equal to primary property measurement. Curation must prioritize datasets with this rich context and flag limitations of those without it. Until addressed, predictive power remains constrained by incomplete material definitions.</w:t>
      </w:r>
    </w:p>
    <w:p w:rsidR="00C57922" w:rsidRPr="002C0810" w:rsidRDefault="00C57922" w:rsidP="002C0810">
      <w:pPr>
        <w:spacing w:before="240" w:after="0" w:line="360" w:lineRule="auto"/>
        <w:jc w:val="both"/>
        <w:rPr>
          <w:rFonts w:cstheme="minorHAnsi"/>
          <w:b/>
          <w:bCs/>
        </w:rPr>
      </w:pPr>
      <w:r w:rsidRPr="002C0810">
        <w:rPr>
          <w:rFonts w:cstheme="minorHAnsi"/>
          <w:b/>
          <w:bCs/>
        </w:rPr>
        <w:t>4.2 Methodological Rigor: Splitting, Metrics, and Uncertainty</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Standard ML protocols often fail in polymer informatics because chemical space is densely clustered, necessitating domain-specific rigor.</w:t>
      </w:r>
    </w:p>
    <w:p w:rsidR="00C57922" w:rsidRPr="002C0810" w:rsidRDefault="00C57922" w:rsidP="004D0E2F">
      <w:pPr>
        <w:spacing w:after="0" w:line="360" w:lineRule="auto"/>
        <w:jc w:val="both"/>
        <w:rPr>
          <w:rFonts w:cstheme="minorHAnsi"/>
          <w:b/>
          <w:bCs/>
        </w:rPr>
      </w:pPr>
      <w:r w:rsidRPr="002C0810">
        <w:rPr>
          <w:rFonts w:cstheme="minorHAnsi"/>
          <w:b/>
          <w:bCs/>
        </w:rPr>
        <w:t>4.2.1 Data Splitting: The Strategy Determines Generalizability</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Data partitioning methodology into training, validation, and test sets fundamentally dictates reported performance and real-world utility. Polymer datasets are uniquely vulnerable to scaffold leakage [49], where structurally similar repeat units, common copolymer motifs, or identical monomers with slight molecular weight variations appear across splits, artificially inflating accuracy metrics.</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The Necessity of Domain-Aware Splitting</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Meaningful validation requires accounting for several "hidden" correlations:</w:t>
      </w:r>
    </w:p>
    <w:p w:rsidR="00C57922" w:rsidRPr="006C7800" w:rsidRDefault="00C57922" w:rsidP="004D0E2F">
      <w:pPr>
        <w:numPr>
          <w:ilvl w:val="0"/>
          <w:numId w:val="26"/>
        </w:numPr>
        <w:spacing w:after="0" w:line="360" w:lineRule="auto"/>
        <w:jc w:val="both"/>
        <w:rPr>
          <w:rFonts w:cstheme="minorHAnsi"/>
          <w:sz w:val="20"/>
          <w:szCs w:val="20"/>
        </w:rPr>
      </w:pPr>
      <w:r w:rsidRPr="006C7800">
        <w:rPr>
          <w:rFonts w:cstheme="minorHAnsi"/>
          <w:sz w:val="20"/>
          <w:szCs w:val="20"/>
        </w:rPr>
        <w:t>Structural Redundancy: Polymers often share identical backbone scaffolds; random splits may place polymers with the same repeat unit but different end-groups in both sets.</w:t>
      </w:r>
    </w:p>
    <w:p w:rsidR="00C57922" w:rsidRPr="006C7800" w:rsidRDefault="00C57922" w:rsidP="004D0E2F">
      <w:pPr>
        <w:numPr>
          <w:ilvl w:val="0"/>
          <w:numId w:val="26"/>
        </w:numPr>
        <w:spacing w:after="0" w:line="360" w:lineRule="auto"/>
        <w:jc w:val="both"/>
        <w:rPr>
          <w:rFonts w:cstheme="minorHAnsi"/>
          <w:sz w:val="20"/>
          <w:szCs w:val="20"/>
        </w:rPr>
      </w:pPr>
      <w:r w:rsidRPr="006C7800">
        <w:rPr>
          <w:rFonts w:cstheme="minorHAnsi"/>
          <w:sz w:val="20"/>
          <w:szCs w:val="20"/>
        </w:rPr>
        <w:t>Sequential Homology: Sequence-based encodings (SMILES/BigSMILES) can leak monomer patterns, allowing models to "memorize" fragments rather than learning generalizable chemical logic.</w:t>
      </w:r>
    </w:p>
    <w:p w:rsidR="00C57922" w:rsidRPr="006C7800" w:rsidRDefault="00C57922" w:rsidP="004D0E2F">
      <w:pPr>
        <w:numPr>
          <w:ilvl w:val="0"/>
          <w:numId w:val="26"/>
        </w:numPr>
        <w:spacing w:after="0" w:line="360" w:lineRule="auto"/>
        <w:jc w:val="both"/>
        <w:rPr>
          <w:rFonts w:cstheme="minorHAnsi"/>
          <w:sz w:val="20"/>
          <w:szCs w:val="20"/>
        </w:rPr>
      </w:pPr>
      <w:r w:rsidRPr="006C7800">
        <w:rPr>
          <w:rFonts w:cstheme="minorHAnsi"/>
          <w:sz w:val="20"/>
          <w:szCs w:val="20"/>
        </w:rPr>
        <w:t>Topological Clustering: Non-linear architectures (e.g., star, brush, or hyperbranched) cluster by chemistry, leading models to generalize well within families but fail on novel topologies.</w:t>
      </w:r>
    </w:p>
    <w:p w:rsidR="00C57922" w:rsidRPr="006C7800" w:rsidRDefault="00C57922" w:rsidP="004D0E2F">
      <w:pPr>
        <w:numPr>
          <w:ilvl w:val="0"/>
          <w:numId w:val="26"/>
        </w:numPr>
        <w:spacing w:after="0" w:line="360" w:lineRule="auto"/>
        <w:jc w:val="both"/>
        <w:rPr>
          <w:rFonts w:cstheme="minorHAnsi"/>
          <w:sz w:val="20"/>
          <w:szCs w:val="20"/>
        </w:rPr>
      </w:pPr>
      <w:r w:rsidRPr="006C7800">
        <w:rPr>
          <w:rFonts w:cstheme="minorHAnsi"/>
          <w:sz w:val="20"/>
          <w:szCs w:val="20"/>
        </w:rPr>
        <w:t>Processing Correlation: Metadata regarding synthesis conditions often correlates strongly with specific polymer families, creating bias where models learn "lab protocol" rather than material physics.</w:t>
      </w:r>
    </w:p>
    <w:p w:rsidR="00C57922" w:rsidRPr="006C7800" w:rsidRDefault="00C57922" w:rsidP="002C0810">
      <w:pPr>
        <w:spacing w:after="0" w:line="360" w:lineRule="auto"/>
        <w:jc w:val="both"/>
        <w:rPr>
          <w:rFonts w:cstheme="minorHAnsi"/>
          <w:sz w:val="20"/>
          <w:szCs w:val="20"/>
        </w:rPr>
      </w:pPr>
      <w:r w:rsidRPr="002C0810">
        <w:rPr>
          <w:rFonts w:cstheme="minorHAnsi"/>
          <w:b/>
          <w:bCs/>
          <w:sz w:val="20"/>
          <w:szCs w:val="20"/>
        </w:rPr>
        <w:t xml:space="preserve">The Critical Flaw of Random </w:t>
      </w:r>
      <w:r w:rsidR="002C0810" w:rsidRPr="002C0810">
        <w:rPr>
          <w:rFonts w:cstheme="minorHAnsi"/>
          <w:b/>
          <w:bCs/>
          <w:sz w:val="20"/>
          <w:szCs w:val="20"/>
        </w:rPr>
        <w:t>Splits</w:t>
      </w:r>
      <w:r w:rsidR="002C0810">
        <w:rPr>
          <w:rFonts w:cstheme="minorHAnsi"/>
          <w:b/>
          <w:bCs/>
          <w:sz w:val="20"/>
          <w:szCs w:val="20"/>
        </w:rPr>
        <w:t xml:space="preserve">: </w:t>
      </w:r>
      <w:r w:rsidRPr="006C7800">
        <w:rPr>
          <w:rFonts w:cstheme="minorHAnsi"/>
          <w:sz w:val="20"/>
          <w:szCs w:val="20"/>
        </w:rPr>
        <w:t xml:space="preserve">Standard random splitting often fails because polymer chemical space is densely clustered. A model achieves high test accuracy by recognizing familiar chemical fragments rather than learning generalizable structure-property relationships. This scaffold leakage is a fundamental validity threat. Consider a </w:t>
      </w:r>
      <w:r w:rsidRPr="006C7800">
        <w:rPr>
          <w:rFonts w:cstheme="minorHAnsi"/>
          <w:sz w:val="20"/>
          <w:szCs w:val="20"/>
        </w:rPr>
        <w:lastRenderedPageBreak/>
        <w:t>polyester dataset. A random split could place polyethylene terephthalate (PET) in training and polybutylene terephthalate (PBT) in test. While differing in alkyl chain length, they share the identical aromatic terephthalate scaffold. A model may appear accurate by learning the correlation between the terephthalate group and high modulus, without generalizing to unseen families. A scaffold split ensures all terephthalate-based polymers are either in training or test, revealing true ability to handle novel backbones.</w:t>
      </w:r>
    </w:p>
    <w:p w:rsidR="00C57922" w:rsidRPr="006C7800" w:rsidRDefault="00C57922" w:rsidP="002C0810">
      <w:pPr>
        <w:spacing w:after="0" w:line="360" w:lineRule="auto"/>
        <w:jc w:val="both"/>
        <w:rPr>
          <w:rFonts w:cstheme="minorHAnsi"/>
          <w:sz w:val="20"/>
          <w:szCs w:val="20"/>
        </w:rPr>
      </w:pPr>
      <w:r w:rsidRPr="002C0810">
        <w:rPr>
          <w:rFonts w:cstheme="minorHAnsi"/>
          <w:b/>
          <w:bCs/>
          <w:sz w:val="20"/>
          <w:szCs w:val="20"/>
        </w:rPr>
        <w:t>Strategic Splitting Paradigms</w:t>
      </w:r>
      <w:r w:rsidR="002C0810">
        <w:rPr>
          <w:rFonts w:cstheme="minorHAnsi"/>
          <w:b/>
          <w:bCs/>
          <w:sz w:val="20"/>
          <w:szCs w:val="20"/>
        </w:rPr>
        <w:t xml:space="preserve">: </w:t>
      </w:r>
      <w:r w:rsidRPr="006C7800">
        <w:rPr>
          <w:rFonts w:cstheme="minorHAnsi"/>
          <w:sz w:val="20"/>
          <w:szCs w:val="20"/>
        </w:rPr>
        <w:t>To ensure robust evaluation, researchers must move beyond random partitioning toward Scaffold Splitting [49] or Cluster-based Splitting (see Table 7). These ensure test sets represent truly unseen chemical space, forcing models to demonstrate genuine extrapolative intelligence rather than simple interpolation.</w:t>
      </w:r>
    </w:p>
    <w:p w:rsidR="00211AD0" w:rsidRDefault="00211AD0" w:rsidP="004D0E2F">
      <w:pPr>
        <w:spacing w:after="0" w:line="360" w:lineRule="auto"/>
        <w:jc w:val="both"/>
        <w:rPr>
          <w:rFonts w:cstheme="minorHAnsi"/>
          <w:sz w:val="20"/>
          <w:szCs w:val="20"/>
        </w:rPr>
      </w:pPr>
    </w:p>
    <w:tbl>
      <w:tblPr>
        <w:tblStyle w:val="PlainTable1"/>
        <w:tblW w:w="0" w:type="auto"/>
        <w:tblLook w:val="04A0" w:firstRow="1" w:lastRow="0" w:firstColumn="1" w:lastColumn="0" w:noHBand="0" w:noVBand="1"/>
      </w:tblPr>
      <w:tblGrid>
        <w:gridCol w:w="1296"/>
        <w:gridCol w:w="3083"/>
        <w:gridCol w:w="2666"/>
        <w:gridCol w:w="2305"/>
      </w:tblGrid>
      <w:tr w:rsidR="00211AD0" w:rsidRPr="00211AD0" w:rsidTr="00F02B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11AD0" w:rsidRPr="00211AD0" w:rsidRDefault="00211AD0" w:rsidP="00211AD0">
            <w:pPr>
              <w:spacing w:line="276" w:lineRule="auto"/>
              <w:jc w:val="center"/>
              <w:rPr>
                <w:rFonts w:eastAsia="Times New Roman" w:cstheme="minorHAnsi"/>
                <w:sz w:val="20"/>
                <w:szCs w:val="20"/>
              </w:rPr>
            </w:pPr>
            <w:r w:rsidRPr="00211AD0">
              <w:rPr>
                <w:rFonts w:eastAsia="Times New Roman" w:cstheme="minorHAnsi"/>
                <w:sz w:val="20"/>
                <w:szCs w:val="20"/>
              </w:rPr>
              <w:t>Splitting Strategy </w:t>
            </w:r>
          </w:p>
        </w:tc>
        <w:tc>
          <w:tcPr>
            <w:tcW w:w="0" w:type="auto"/>
            <w:hideMark/>
          </w:tcPr>
          <w:p w:rsidR="00211AD0" w:rsidRPr="00211AD0" w:rsidRDefault="00211AD0" w:rsidP="00211AD0">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211AD0">
              <w:rPr>
                <w:rFonts w:eastAsia="Times New Roman" w:cstheme="minorHAnsi"/>
                <w:sz w:val="20"/>
                <w:szCs w:val="20"/>
              </w:rPr>
              <w:t>Rationale</w:t>
            </w:r>
          </w:p>
        </w:tc>
        <w:tc>
          <w:tcPr>
            <w:tcW w:w="0" w:type="auto"/>
            <w:hideMark/>
          </w:tcPr>
          <w:p w:rsidR="00211AD0" w:rsidRPr="00211AD0" w:rsidRDefault="00211AD0" w:rsidP="00211AD0">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211AD0">
              <w:rPr>
                <w:rFonts w:eastAsia="Times New Roman" w:cstheme="minorHAnsi"/>
                <w:sz w:val="20"/>
                <w:szCs w:val="20"/>
              </w:rPr>
              <w:t>Primary Risk</w:t>
            </w:r>
          </w:p>
        </w:tc>
        <w:tc>
          <w:tcPr>
            <w:tcW w:w="0" w:type="auto"/>
            <w:hideMark/>
          </w:tcPr>
          <w:p w:rsidR="00211AD0" w:rsidRPr="00211AD0" w:rsidRDefault="00211AD0" w:rsidP="00211AD0">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211AD0">
              <w:rPr>
                <w:rFonts w:eastAsia="Times New Roman" w:cstheme="minorHAnsi"/>
                <w:sz w:val="20"/>
                <w:szCs w:val="20"/>
              </w:rPr>
              <w:t>Recommended Use Case</w:t>
            </w:r>
          </w:p>
        </w:tc>
      </w:tr>
      <w:tr w:rsidR="00211AD0" w:rsidRPr="00211AD0" w:rsidTr="00F02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11AD0" w:rsidRPr="00211AD0" w:rsidRDefault="00211AD0" w:rsidP="00211AD0">
            <w:pPr>
              <w:spacing w:line="276" w:lineRule="auto"/>
              <w:rPr>
                <w:rFonts w:eastAsia="Times New Roman" w:cstheme="minorHAnsi"/>
                <w:sz w:val="20"/>
                <w:szCs w:val="20"/>
              </w:rPr>
            </w:pPr>
            <w:r w:rsidRPr="00211AD0">
              <w:rPr>
                <w:rFonts w:eastAsia="Times New Roman" w:cstheme="minorHAnsi"/>
                <w:sz w:val="20"/>
                <w:szCs w:val="20"/>
              </w:rPr>
              <w:t>Random</w:t>
            </w:r>
          </w:p>
        </w:tc>
        <w:tc>
          <w:tcPr>
            <w:tcW w:w="0" w:type="auto"/>
            <w:hideMark/>
          </w:tcPr>
          <w:p w:rsidR="00211AD0" w:rsidRPr="00211AD0" w:rsidRDefault="00211AD0" w:rsidP="00211AD0">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11AD0">
              <w:rPr>
                <w:rFonts w:eastAsia="Times New Roman" w:cstheme="minorHAnsi"/>
                <w:sz w:val="20"/>
                <w:szCs w:val="20"/>
              </w:rPr>
              <w:t>Assumes I.I.D. data distribution; simple to implement.</w:t>
            </w:r>
          </w:p>
        </w:tc>
        <w:tc>
          <w:tcPr>
            <w:tcW w:w="0" w:type="auto"/>
            <w:hideMark/>
          </w:tcPr>
          <w:p w:rsidR="00211AD0" w:rsidRPr="00211AD0" w:rsidRDefault="00211AD0" w:rsidP="00211AD0">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11AD0">
              <w:rPr>
                <w:rFonts w:eastAsia="Times New Roman" w:cstheme="minorHAnsi"/>
                <w:b/>
                <w:bCs/>
                <w:sz w:val="20"/>
                <w:szCs w:val="20"/>
              </w:rPr>
              <w:t>Scaffold Leakage</w:t>
            </w:r>
            <w:r w:rsidRPr="00211AD0">
              <w:rPr>
                <w:rFonts w:eastAsia="Times New Roman" w:cstheme="minorHAnsi"/>
                <w:sz w:val="20"/>
                <w:szCs w:val="20"/>
              </w:rPr>
              <w:t>: Inflated performance due to structural overlap between sets.</w:t>
            </w:r>
          </w:p>
        </w:tc>
        <w:tc>
          <w:tcPr>
            <w:tcW w:w="0" w:type="auto"/>
            <w:hideMark/>
          </w:tcPr>
          <w:p w:rsidR="00211AD0" w:rsidRPr="00211AD0" w:rsidRDefault="00211AD0" w:rsidP="00211AD0">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11AD0">
              <w:rPr>
                <w:rFonts w:eastAsia="Times New Roman" w:cstheme="minorHAnsi"/>
                <w:sz w:val="20"/>
                <w:szCs w:val="20"/>
              </w:rPr>
              <w:t>Baseline comparison and exploratory benchmarking only.</w:t>
            </w:r>
          </w:p>
        </w:tc>
      </w:tr>
      <w:tr w:rsidR="00211AD0" w:rsidRPr="00211AD0" w:rsidTr="00F02B89">
        <w:tc>
          <w:tcPr>
            <w:cnfStyle w:val="001000000000" w:firstRow="0" w:lastRow="0" w:firstColumn="1" w:lastColumn="0" w:oddVBand="0" w:evenVBand="0" w:oddHBand="0" w:evenHBand="0" w:firstRowFirstColumn="0" w:firstRowLastColumn="0" w:lastRowFirstColumn="0" w:lastRowLastColumn="0"/>
            <w:tcW w:w="0" w:type="auto"/>
            <w:hideMark/>
          </w:tcPr>
          <w:p w:rsidR="00211AD0" w:rsidRPr="00211AD0" w:rsidRDefault="00211AD0" w:rsidP="00211AD0">
            <w:pPr>
              <w:spacing w:line="276" w:lineRule="auto"/>
              <w:rPr>
                <w:rFonts w:eastAsia="Times New Roman" w:cstheme="minorHAnsi"/>
                <w:sz w:val="20"/>
                <w:szCs w:val="20"/>
              </w:rPr>
            </w:pPr>
            <w:r w:rsidRPr="00211AD0">
              <w:rPr>
                <w:rFonts w:eastAsia="Times New Roman" w:cstheme="minorHAnsi"/>
                <w:sz w:val="20"/>
                <w:szCs w:val="20"/>
              </w:rPr>
              <w:t>Scaffold (Structural)</w:t>
            </w:r>
          </w:p>
        </w:tc>
        <w:tc>
          <w:tcPr>
            <w:tcW w:w="0" w:type="auto"/>
            <w:hideMark/>
          </w:tcPr>
          <w:p w:rsidR="00211AD0" w:rsidRPr="00211AD0" w:rsidRDefault="00211AD0" w:rsidP="00211AD0">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11AD0">
              <w:rPr>
                <w:rFonts w:eastAsia="Times New Roman" w:cstheme="minorHAnsi"/>
                <w:sz w:val="20"/>
                <w:szCs w:val="20"/>
              </w:rPr>
              <w:t>Ensures the test set contains truly novel chemistries/backbones.</w:t>
            </w:r>
          </w:p>
        </w:tc>
        <w:tc>
          <w:tcPr>
            <w:tcW w:w="0" w:type="auto"/>
            <w:hideMark/>
          </w:tcPr>
          <w:p w:rsidR="00211AD0" w:rsidRPr="00211AD0" w:rsidRDefault="00211AD0" w:rsidP="00211AD0">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11AD0">
              <w:rPr>
                <w:rFonts w:eastAsia="Times New Roman" w:cstheme="minorHAnsi"/>
                <w:b/>
                <w:bCs/>
                <w:sz w:val="20"/>
                <w:szCs w:val="20"/>
              </w:rPr>
              <w:t>Under-performance</w:t>
            </w:r>
            <w:r w:rsidRPr="00211AD0">
              <w:rPr>
                <w:rFonts w:eastAsia="Times New Roman" w:cstheme="minorHAnsi"/>
                <w:sz w:val="20"/>
                <w:szCs w:val="20"/>
              </w:rPr>
              <w:t>: May yield overly conservative metrics if the chemical space is too sparse.</w:t>
            </w:r>
          </w:p>
        </w:tc>
        <w:tc>
          <w:tcPr>
            <w:tcW w:w="0" w:type="auto"/>
            <w:hideMark/>
          </w:tcPr>
          <w:p w:rsidR="00211AD0" w:rsidRPr="00211AD0" w:rsidRDefault="00211AD0" w:rsidP="00211AD0">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11AD0">
              <w:rPr>
                <w:rFonts w:eastAsia="Times New Roman" w:cstheme="minorHAnsi"/>
                <w:b/>
                <w:bCs/>
                <w:sz w:val="20"/>
                <w:szCs w:val="20"/>
              </w:rPr>
              <w:t>Gold standard</w:t>
            </w:r>
            <w:r w:rsidRPr="00211AD0">
              <w:rPr>
                <w:rFonts w:eastAsia="Times New Roman" w:cstheme="minorHAnsi"/>
                <w:sz w:val="20"/>
                <w:szCs w:val="20"/>
              </w:rPr>
              <w:t xml:space="preserve"> for backbone discovery and property prediction.</w:t>
            </w:r>
          </w:p>
        </w:tc>
      </w:tr>
      <w:tr w:rsidR="00211AD0" w:rsidRPr="00211AD0" w:rsidTr="00F02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11AD0" w:rsidRPr="00211AD0" w:rsidRDefault="00211AD0" w:rsidP="00211AD0">
            <w:pPr>
              <w:spacing w:line="276" w:lineRule="auto"/>
              <w:rPr>
                <w:rFonts w:eastAsia="Times New Roman" w:cstheme="minorHAnsi"/>
                <w:sz w:val="20"/>
                <w:szCs w:val="20"/>
              </w:rPr>
            </w:pPr>
            <w:r w:rsidRPr="00211AD0">
              <w:rPr>
                <w:rFonts w:eastAsia="Times New Roman" w:cstheme="minorHAnsi"/>
                <w:sz w:val="20"/>
                <w:szCs w:val="20"/>
              </w:rPr>
              <w:t>Time-Based</w:t>
            </w:r>
          </w:p>
        </w:tc>
        <w:tc>
          <w:tcPr>
            <w:tcW w:w="0" w:type="auto"/>
            <w:hideMark/>
          </w:tcPr>
          <w:p w:rsidR="00211AD0" w:rsidRPr="00211AD0" w:rsidRDefault="00211AD0" w:rsidP="00211AD0">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11AD0">
              <w:rPr>
                <w:rFonts w:eastAsia="Times New Roman" w:cstheme="minorHAnsi"/>
                <w:sz w:val="20"/>
                <w:szCs w:val="20"/>
              </w:rPr>
              <w:t>Mimics real-world deployment where models predict future lab discoveries.</w:t>
            </w:r>
          </w:p>
        </w:tc>
        <w:tc>
          <w:tcPr>
            <w:tcW w:w="0" w:type="auto"/>
            <w:hideMark/>
          </w:tcPr>
          <w:p w:rsidR="00211AD0" w:rsidRPr="00211AD0" w:rsidRDefault="00211AD0" w:rsidP="00211AD0">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11AD0">
              <w:rPr>
                <w:rFonts w:eastAsia="Times New Roman" w:cstheme="minorHAnsi"/>
                <w:b/>
                <w:bCs/>
                <w:sz w:val="20"/>
                <w:szCs w:val="20"/>
              </w:rPr>
              <w:t>Data Obsolescence</w:t>
            </w:r>
            <w:r w:rsidRPr="00211AD0">
              <w:rPr>
                <w:rFonts w:eastAsia="Times New Roman" w:cstheme="minorHAnsi"/>
                <w:sz w:val="20"/>
                <w:szCs w:val="20"/>
              </w:rPr>
              <w:t>: High sensitivity to "temporal drift" in synthetic trends and lab protocols.</w:t>
            </w:r>
          </w:p>
        </w:tc>
        <w:tc>
          <w:tcPr>
            <w:tcW w:w="0" w:type="auto"/>
            <w:hideMark/>
          </w:tcPr>
          <w:p w:rsidR="00211AD0" w:rsidRPr="00211AD0" w:rsidRDefault="00211AD0" w:rsidP="00211AD0">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211AD0">
              <w:rPr>
                <w:rFonts w:eastAsia="Times New Roman" w:cstheme="minorHAnsi"/>
                <w:sz w:val="20"/>
                <w:szCs w:val="20"/>
              </w:rPr>
              <w:t>Validating prospective discovery and Autonomous Lab integration.</w:t>
            </w:r>
          </w:p>
        </w:tc>
      </w:tr>
      <w:tr w:rsidR="00211AD0" w:rsidRPr="00211AD0" w:rsidTr="00F02B89">
        <w:tc>
          <w:tcPr>
            <w:cnfStyle w:val="001000000000" w:firstRow="0" w:lastRow="0" w:firstColumn="1" w:lastColumn="0" w:oddVBand="0" w:evenVBand="0" w:oddHBand="0" w:evenHBand="0" w:firstRowFirstColumn="0" w:firstRowLastColumn="0" w:lastRowFirstColumn="0" w:lastRowLastColumn="0"/>
            <w:tcW w:w="0" w:type="auto"/>
            <w:hideMark/>
          </w:tcPr>
          <w:p w:rsidR="00211AD0" w:rsidRPr="00211AD0" w:rsidRDefault="00211AD0" w:rsidP="00211AD0">
            <w:pPr>
              <w:spacing w:line="276" w:lineRule="auto"/>
              <w:rPr>
                <w:rFonts w:eastAsia="Times New Roman" w:cstheme="minorHAnsi"/>
                <w:sz w:val="20"/>
                <w:szCs w:val="20"/>
              </w:rPr>
            </w:pPr>
            <w:r w:rsidRPr="00211AD0">
              <w:rPr>
                <w:rFonts w:eastAsia="Times New Roman" w:cstheme="minorHAnsi"/>
                <w:sz w:val="20"/>
                <w:szCs w:val="20"/>
              </w:rPr>
              <w:t>Property-Based</w:t>
            </w:r>
          </w:p>
        </w:tc>
        <w:tc>
          <w:tcPr>
            <w:tcW w:w="0" w:type="auto"/>
            <w:hideMark/>
          </w:tcPr>
          <w:p w:rsidR="00211AD0" w:rsidRPr="00211AD0" w:rsidRDefault="00211AD0" w:rsidP="00211AD0">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11AD0">
              <w:rPr>
                <w:rFonts w:eastAsia="Times New Roman" w:cstheme="minorHAnsi"/>
                <w:sz w:val="20"/>
                <w:szCs w:val="20"/>
              </w:rPr>
              <w:t xml:space="preserve">Ensures the model is validated across the entire performance range (e.g., high vs. low </w:t>
            </w:r>
          </w:p>
          <w:p w:rsidR="00211AD0" w:rsidRPr="00211AD0" w:rsidRDefault="00211AD0" w:rsidP="00211AD0">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11AD0">
              <w:rPr>
                <w:rFonts w:eastAsia="Times New Roman" w:cstheme="minorHAnsi"/>
                <w:sz w:val="20"/>
                <w:szCs w:val="20"/>
              </w:rPr>
              <w:t>Tg).</w:t>
            </w:r>
          </w:p>
        </w:tc>
        <w:tc>
          <w:tcPr>
            <w:tcW w:w="0" w:type="auto"/>
            <w:hideMark/>
          </w:tcPr>
          <w:p w:rsidR="00211AD0" w:rsidRPr="00211AD0" w:rsidRDefault="00211AD0" w:rsidP="00211AD0">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11AD0">
              <w:rPr>
                <w:rFonts w:eastAsia="Times New Roman" w:cstheme="minorHAnsi"/>
                <w:b/>
                <w:bCs/>
                <w:sz w:val="20"/>
                <w:szCs w:val="20"/>
              </w:rPr>
              <w:t>Hidden Bias</w:t>
            </w:r>
            <w:r w:rsidRPr="00211AD0">
              <w:rPr>
                <w:rFonts w:eastAsia="Times New Roman" w:cstheme="minorHAnsi"/>
                <w:sz w:val="20"/>
                <w:szCs w:val="20"/>
              </w:rPr>
              <w:t>: May still allow scaffold leakage if similar structures occupy the same property range.</w:t>
            </w:r>
          </w:p>
        </w:tc>
        <w:tc>
          <w:tcPr>
            <w:tcW w:w="0" w:type="auto"/>
            <w:hideMark/>
          </w:tcPr>
          <w:p w:rsidR="00211AD0" w:rsidRPr="00211AD0" w:rsidRDefault="00211AD0" w:rsidP="00211AD0">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211AD0">
              <w:rPr>
                <w:rFonts w:eastAsia="Times New Roman" w:cstheme="minorHAnsi"/>
                <w:sz w:val="20"/>
                <w:szCs w:val="20"/>
              </w:rPr>
              <w:t>Stress-testing models for Extrapolation into extreme material regimes.</w:t>
            </w:r>
          </w:p>
        </w:tc>
      </w:tr>
    </w:tbl>
    <w:p w:rsidR="00211AD0" w:rsidRDefault="00211AD0" w:rsidP="00211AD0">
      <w:pPr>
        <w:spacing w:after="0" w:line="360" w:lineRule="auto"/>
        <w:jc w:val="both"/>
        <w:rPr>
          <w:rFonts w:cstheme="minorHAnsi"/>
          <w:sz w:val="20"/>
          <w:szCs w:val="20"/>
        </w:rPr>
      </w:pPr>
      <w:r w:rsidRPr="00DE4DC4">
        <w:rPr>
          <w:rFonts w:asciiTheme="majorBidi" w:hAnsiTheme="majorBidi" w:cstheme="majorBidi"/>
          <w:b/>
          <w:bCs/>
          <w:noProof/>
        </w:rPr>
        <mc:AlternateContent>
          <mc:Choice Requires="wps">
            <w:drawing>
              <wp:anchor distT="0" distB="0" distL="114300" distR="114300" simplePos="0" relativeHeight="251679744" behindDoc="0" locked="0" layoutInCell="1" allowOverlap="1" wp14:anchorId="2CF7D4D8" wp14:editId="3AAD2468">
                <wp:simplePos x="0" y="0"/>
                <wp:positionH relativeFrom="margin">
                  <wp:posOffset>9525</wp:posOffset>
                </wp:positionH>
                <wp:positionV relativeFrom="paragraph">
                  <wp:posOffset>83820</wp:posOffset>
                </wp:positionV>
                <wp:extent cx="6162675" cy="410967"/>
                <wp:effectExtent l="0" t="0" r="9525" b="8255"/>
                <wp:wrapNone/>
                <wp:docPr id="58" name="Text Box 58"/>
                <wp:cNvGraphicFramePr/>
                <a:graphic xmlns:a="http://schemas.openxmlformats.org/drawingml/2006/main">
                  <a:graphicData uri="http://schemas.microsoft.com/office/word/2010/wordprocessingShape">
                    <wps:wsp>
                      <wps:cNvSpPr txBox="1"/>
                      <wps:spPr>
                        <a:xfrm>
                          <a:off x="0" y="0"/>
                          <a:ext cx="6162675" cy="410967"/>
                        </a:xfrm>
                        <a:prstGeom prst="rect">
                          <a:avLst/>
                        </a:prstGeom>
                        <a:solidFill>
                          <a:schemeClr val="lt1"/>
                        </a:solidFill>
                        <a:ln w="6350">
                          <a:noFill/>
                        </a:ln>
                      </wps:spPr>
                      <wps:txbx>
                        <w:txbxContent>
                          <w:p w:rsidR="005562ED" w:rsidRPr="00211AD0" w:rsidRDefault="005562ED" w:rsidP="00211AD0">
                            <w:pPr>
                              <w:spacing w:after="0"/>
                              <w:rPr>
                                <w:rFonts w:cstheme="minorHAnsi"/>
                                <w:sz w:val="18"/>
                                <w:szCs w:val="18"/>
                              </w:rPr>
                            </w:pPr>
                            <w:r w:rsidRPr="00211AD0">
                              <w:rPr>
                                <w:rFonts w:eastAsia="Times New Roman" w:cstheme="minorHAnsi"/>
                                <w:b/>
                                <w:bCs/>
                                <w:sz w:val="18"/>
                                <w:szCs w:val="18"/>
                              </w:rPr>
                              <w:t>Table 7</w:t>
                            </w:r>
                            <w:r w:rsidRPr="00211AD0">
                              <w:rPr>
                                <w:rFonts w:eastAsia="Times New Roman" w:cstheme="minorHAnsi"/>
                                <w:sz w:val="18"/>
                                <w:szCs w:val="18"/>
                              </w:rPr>
                              <w:t>: Strategic Data Splitting Paradigms for Polymer Informatics. A comparison of partitioning methodologies designed to mitigate scaffold leakage and assess true extrapolative performance.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7D4D8" id="Text Box 58" o:spid="_x0000_s1035" type="#_x0000_t202" style="position:absolute;left:0;text-align:left;margin-left:.75pt;margin-top:6.6pt;width:485.25pt;height:32.3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hMcRgIAAIIEAAAOAAAAZHJzL2Uyb0RvYy54bWysVMFu2zAMvQ/YPwi6r46zJG2MOkXWosOA&#10;oC2QDj0rstwYkEVNUmJnX78nOWm7bqdhF4Ui6SfyPTKXV32r2V4535ApeX424kwZSVVjnkv+/fH2&#10;0wVnPghTCU1GlfygPL9afPxw2dlCjWlLulKOAcT4orMl34Zgiyzzcqta4c/IKoNgTa4VAVf3nFVO&#10;dEBvdTYejWZZR66yjqTyHt6bIcgXCb+ulQz3de1VYLrkqC2k06VzE89scSmKZyfstpHHMsQ/VNGK&#10;xuDRF6gbEQTbueYPqLaRjjzV4UxSm1FdN1KlHtBNPnrXzXorrEq9gBxvX2jy/w9W3u0fHGuqkk+h&#10;lBEtNHpUfWBfqGdwgZ/O+gJpa4vE0MMPnU9+D2dsu69dG3/REEMcTB9e2I1oEs5ZPhvPzqecScQm&#10;+Wg+O48w2evX1vnwVVHLolFyB/USqWK/8mFIPaXExzzpprpttE6XODHqWju2F9Bah1QjwH/L0oZ1&#10;qOTzdJSADcXPB2RtUEvsdegpWqHf9Imb+anfDVUH0OBoGCRv5W2DWlfChwfhMDnoHNsQ7nHUmvAW&#10;HS3OtuR+/s0f8yEoopx1mMSS+x874RRn+puB1PN8Momjmy6T6fkYF/c2snkbMbv2mkBAjr2zMpkx&#10;P+iTWTtqn7A0y/gqQsJIvF3ycDKvw7AfWDqplsuUhGG1IqzM2soIHQmPSjz2T8LZo1wBQt/RaWZF&#10;8U61ITd+aWi5C1Q3SdLI88DqkX4MehqK41LGTXp7T1mvfx2LXwAAAP//AwBQSwMEFAAGAAgAAAAh&#10;AFfExcrfAAAABwEAAA8AAABkcnMvZG93bnJldi54bWxMj0tPwzAQhO9I/Q/WInFB1CFRGxriVAjx&#10;kLjR8BA3N16SqPE6it0k/HuWEz2tRjOa/SbfzrYTIw6+daTgehmBQKqcaalW8FY+Xt2A8EGT0Z0j&#10;VPCDHrbF4izXmXETveK4C7XgEvKZVtCE0GdS+qpBq/3S9UjsfbvB6sByqKUZ9MTltpNxFK2l1S3x&#10;h0b3eN9gddgdrYKvy/rzxc9P71OySvqH57FMP0yp1MX5fHcLIuAc/sPwh8/oUDDT3h3JeNGxXnGQ&#10;TxKDYHuTxjxtryBNNyCLXJ7yF78AAAD//wMAUEsBAi0AFAAGAAgAAAAhALaDOJL+AAAA4QEAABMA&#10;AAAAAAAAAAAAAAAAAAAAAFtDb250ZW50X1R5cGVzXS54bWxQSwECLQAUAAYACAAAACEAOP0h/9YA&#10;AACUAQAACwAAAAAAAAAAAAAAAAAvAQAAX3JlbHMvLnJlbHNQSwECLQAUAAYACAAAACEARAoTHEYC&#10;AACCBAAADgAAAAAAAAAAAAAAAAAuAgAAZHJzL2Uyb0RvYy54bWxQSwECLQAUAAYACAAAACEAV8TF&#10;yt8AAAAHAQAADwAAAAAAAAAAAAAAAACgBAAAZHJzL2Rvd25yZXYueG1sUEsFBgAAAAAEAAQA8wAA&#10;AKwFAAAAAA==&#10;" fillcolor="white [3201]" stroked="f" strokeweight=".5pt">
                <v:textbox>
                  <w:txbxContent>
                    <w:p w:rsidR="005562ED" w:rsidRPr="00211AD0" w:rsidRDefault="005562ED" w:rsidP="00211AD0">
                      <w:pPr>
                        <w:spacing w:after="0"/>
                        <w:rPr>
                          <w:rFonts w:cstheme="minorHAnsi"/>
                          <w:sz w:val="18"/>
                          <w:szCs w:val="18"/>
                        </w:rPr>
                      </w:pPr>
                      <w:r w:rsidRPr="00211AD0">
                        <w:rPr>
                          <w:rFonts w:eastAsia="Times New Roman" w:cstheme="minorHAnsi"/>
                          <w:b/>
                          <w:bCs/>
                          <w:sz w:val="18"/>
                          <w:szCs w:val="18"/>
                        </w:rPr>
                        <w:t>Table 7</w:t>
                      </w:r>
                      <w:r w:rsidRPr="00211AD0">
                        <w:rPr>
                          <w:rFonts w:eastAsia="Times New Roman" w:cstheme="minorHAnsi"/>
                          <w:sz w:val="18"/>
                          <w:szCs w:val="18"/>
                        </w:rPr>
                        <w:t>: Strategic Data Splitting Paradigms for Polymer Informatics. A comparison of partitioning methodologies designed to mitigate scaffold leakage and assess true extrapolative performance.</w:t>
                      </w:r>
                    </w:p>
                  </w:txbxContent>
                </v:textbox>
                <w10:wrap anchorx="margin"/>
              </v:shape>
            </w:pict>
          </mc:Fallback>
        </mc:AlternateContent>
      </w:r>
    </w:p>
    <w:p w:rsidR="00211AD0" w:rsidRDefault="00211AD0" w:rsidP="004D0E2F">
      <w:pPr>
        <w:spacing w:after="0" w:line="360" w:lineRule="auto"/>
        <w:jc w:val="both"/>
        <w:rPr>
          <w:rFonts w:cstheme="minorHAnsi"/>
          <w:sz w:val="20"/>
          <w:szCs w:val="20"/>
        </w:rPr>
      </w:pPr>
    </w:p>
    <w:p w:rsidR="00211AD0" w:rsidRDefault="00211AD0" w:rsidP="004D0E2F">
      <w:pPr>
        <w:spacing w:after="0" w:line="360" w:lineRule="auto"/>
        <w:jc w:val="both"/>
        <w:rPr>
          <w:rFonts w:cstheme="minorHAnsi"/>
          <w:sz w:val="20"/>
          <w:szCs w:val="20"/>
        </w:rPr>
      </w:pPr>
    </w:p>
    <w:p w:rsidR="00C57922" w:rsidRPr="006C7800" w:rsidRDefault="00C57922" w:rsidP="004D0E2F">
      <w:pPr>
        <w:spacing w:after="0" w:line="360" w:lineRule="auto"/>
        <w:jc w:val="both"/>
        <w:rPr>
          <w:rFonts w:cstheme="minorHAnsi"/>
          <w:sz w:val="20"/>
          <w:szCs w:val="20"/>
        </w:rPr>
      </w:pPr>
      <w:r w:rsidRPr="00211AD0">
        <w:rPr>
          <w:rFonts w:cstheme="minorHAnsi"/>
          <w:b/>
          <w:bCs/>
          <w:sz w:val="20"/>
          <w:szCs w:val="20"/>
        </w:rPr>
        <w:t>Best Practice:</w:t>
      </w:r>
      <w:r w:rsidRPr="006C7800">
        <w:rPr>
          <w:rFonts w:cstheme="minorHAnsi"/>
          <w:sz w:val="20"/>
          <w:szCs w:val="20"/>
        </w:rPr>
        <w:t xml:space="preserve"> Scaffold splitting should be default for polymer property prediction. Exact split indices must be reported for reproducibility.</w:t>
      </w:r>
    </w:p>
    <w:p w:rsidR="00211AD0" w:rsidRDefault="00211AD0" w:rsidP="002C0810">
      <w:pPr>
        <w:spacing w:before="240" w:after="0" w:line="360" w:lineRule="auto"/>
        <w:jc w:val="both"/>
        <w:rPr>
          <w:rFonts w:cstheme="minorHAnsi"/>
          <w:b/>
          <w:bCs/>
        </w:rPr>
      </w:pPr>
    </w:p>
    <w:p w:rsidR="00211AD0" w:rsidRDefault="00491B75" w:rsidP="004C1A55">
      <w:pPr>
        <w:spacing w:before="240" w:after="0" w:line="360" w:lineRule="auto"/>
        <w:jc w:val="center"/>
        <w:rPr>
          <w:rFonts w:cstheme="minorHAnsi"/>
          <w:b/>
          <w:bCs/>
        </w:rPr>
      </w:pPr>
      <w:r w:rsidRPr="00DE4DC4">
        <w:rPr>
          <w:b/>
          <w:bCs/>
          <w:noProof/>
        </w:rPr>
        <w:lastRenderedPageBreak/>
        <mc:AlternateContent>
          <mc:Choice Requires="wps">
            <w:drawing>
              <wp:anchor distT="0" distB="0" distL="114300" distR="114300" simplePos="0" relativeHeight="251681792" behindDoc="0" locked="0" layoutInCell="1" allowOverlap="1" wp14:anchorId="39EC6A52" wp14:editId="3DB7A75A">
                <wp:simplePos x="0" y="0"/>
                <wp:positionH relativeFrom="column">
                  <wp:posOffset>314325</wp:posOffset>
                </wp:positionH>
                <wp:positionV relativeFrom="paragraph">
                  <wp:posOffset>1799590</wp:posOffset>
                </wp:positionV>
                <wp:extent cx="6205591" cy="606175"/>
                <wp:effectExtent l="0" t="0" r="5080" b="3810"/>
                <wp:wrapNone/>
                <wp:docPr id="30" name="Text Box 30"/>
                <wp:cNvGraphicFramePr/>
                <a:graphic xmlns:a="http://schemas.openxmlformats.org/drawingml/2006/main">
                  <a:graphicData uri="http://schemas.microsoft.com/office/word/2010/wordprocessingShape">
                    <wps:wsp>
                      <wps:cNvSpPr txBox="1"/>
                      <wps:spPr>
                        <a:xfrm>
                          <a:off x="0" y="0"/>
                          <a:ext cx="6205591" cy="606175"/>
                        </a:xfrm>
                        <a:prstGeom prst="rect">
                          <a:avLst/>
                        </a:prstGeom>
                        <a:solidFill>
                          <a:schemeClr val="lt1"/>
                        </a:solidFill>
                        <a:ln w="6350">
                          <a:noFill/>
                        </a:ln>
                      </wps:spPr>
                      <wps:txbx>
                        <w:txbxContent>
                          <w:p w:rsidR="005562ED" w:rsidRPr="00491B75" w:rsidRDefault="005562ED" w:rsidP="00491B75">
                            <w:pPr>
                              <w:rPr>
                                <w:rFonts w:cstheme="minorHAnsi"/>
                                <w:sz w:val="16"/>
                                <w:szCs w:val="16"/>
                              </w:rPr>
                            </w:pPr>
                            <w:r w:rsidRPr="00491B75">
                              <w:rPr>
                                <w:rFonts w:cstheme="minorHAnsi"/>
                                <w:b/>
                                <w:bCs/>
                                <w:sz w:val="16"/>
                                <w:szCs w:val="16"/>
                              </w:rPr>
                              <w:t xml:space="preserve">Figure 4: </w:t>
                            </w:r>
                            <w:r w:rsidRPr="00491B75">
                              <w:rPr>
                                <w:rFonts w:cstheme="minorHAnsi"/>
                                <w:sz w:val="16"/>
                                <w:szCs w:val="16"/>
                              </w:rPr>
                              <w:t xml:space="preserve"> Comparison of dataset splitting methodologies in molecular machine learning. A Random Split (left) can lead to data leakage and model memorization because highly similar molecular structures (proximal points) can appear in both the training and test sets. A Scaffold Split (right) ensures that molecules sharing a common core structure (scaffold) are kept in the same partition, enforcing a separation of structurally distinct chemical spaces between the training (blue) and test (red) sets, which facilitates true generalization to unseen chemistries.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C6A52" id="Text Box 30" o:spid="_x0000_s1036" type="#_x0000_t202" style="position:absolute;left:0;text-align:left;margin-left:24.75pt;margin-top:141.7pt;width:488.65pt;height:47.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Dp4RAIAAIMEAAAOAAAAZHJzL2Uyb0RvYy54bWysVMFu2zAMvQ/YPwi6r3bSJF2DOkXWIsOA&#10;oi2QDD0rstwYkEVNUmJnX78nOUmzbqdhF5kiqUfykfTNbddotlPO12QKPrjIOVNGUlmb14J/Xy0+&#10;febMB2FKocmogu+V57ezjx9uWjtVQ9qQLpVjADF+2tqCb0Kw0yzzcqMa4S/IKgNjRa4RAVf3mpVO&#10;tEBvdDbM80nWkiutI6m8h/a+N/JZwq8qJcNTVXkVmC44cgvpdOlcxzOb3YjpqxN2U8tDGuIfsmhE&#10;bRD0BHUvgmBbV/8B1dTSkacqXEhqMqqqWqpUA6oZ5O+qWW6EVakWkOPtiSb//2Dl4+7Zsbos+CXo&#10;MaJBj1aqC+wLdQwq8NNaP4Xb0sIxdNCjz0e9hzKW3VWuiV8UxGAH1P7EbkSTUE6G+Xh8PeBMwjbJ&#10;J4OrcYTJ3l5b58NXRQ2LQsEdupdIFbsHH3rXo0sM5knX5aLWOl3ixKg77dhOoNc6pBwB/puXNqxF&#10;8MtxnoANxec9sjbIJdba1xSl0K27xM3gRMSayj14cNRPkrdyUSPZB+HDs3AYHZSOdQhPOCpNCEYH&#10;ibMNuZ9/00d/dBRWzlqMYsH9j61wijP9zaDX14PRKM5uuozGV0Nc3LllfW4x2+aOwACIRnZJjP5B&#10;H8XKUfOCrZnHqDAJIxG74OEo3oV+QbB1Us3nyQnTakV4MEsrI3RkPLZi1b0IZw/9Cuj0Ix2HVkzf&#10;ta33jS8NzbeBqjr1NBLds3rgH5OepuKwlXGVzu/J6+3fMfsFAAD//wMAUEsDBBQABgAIAAAAIQDd&#10;x31h4wAAAAsBAAAPAAAAZHJzL2Rvd25yZXYueG1sTI/LTsMwEEX3SPyDNUhsEHVo+khDJhVCQCV2&#10;NDzEzo2HJCIeR7GbhL/HXcFyNEf3npttJ9OKgXrXWEa4mUUgiEurG64QXovH6wSE84q1ai0Twg85&#10;2ObnZ5lKtR35hYa9r0QIYZcqhNr7LpXSlTUZ5Wa2Iw6/L9sb5cPZV1L3agzhppXzKFpJoxoODbXq&#10;6L6m8nt/NAifV9XHs5ue3sZ4GXcPu6FYv+sC8fJiursF4WnyfzCc9IM65MHpYI+snWgRFptlIBHm&#10;SbwAcQKi+SqMOSDE62QDMs/k/w35LwAAAP//AwBQSwECLQAUAAYACAAAACEAtoM4kv4AAADhAQAA&#10;EwAAAAAAAAAAAAAAAAAAAAAAW0NvbnRlbnRfVHlwZXNdLnhtbFBLAQItABQABgAIAAAAIQA4/SH/&#10;1gAAAJQBAAALAAAAAAAAAAAAAAAAAC8BAABfcmVscy8ucmVsc1BLAQItABQABgAIAAAAIQCPcDp4&#10;RAIAAIMEAAAOAAAAAAAAAAAAAAAAAC4CAABkcnMvZTJvRG9jLnhtbFBLAQItABQABgAIAAAAIQDd&#10;x31h4wAAAAsBAAAPAAAAAAAAAAAAAAAAAJ4EAABkcnMvZG93bnJldi54bWxQSwUGAAAAAAQABADz&#10;AAAArgUAAAAA&#10;" fillcolor="white [3201]" stroked="f" strokeweight=".5pt">
                <v:textbox>
                  <w:txbxContent>
                    <w:p w:rsidR="005562ED" w:rsidRPr="00491B75" w:rsidRDefault="005562ED" w:rsidP="00491B75">
                      <w:pPr>
                        <w:rPr>
                          <w:rFonts w:cstheme="minorHAnsi"/>
                          <w:sz w:val="16"/>
                          <w:szCs w:val="16"/>
                        </w:rPr>
                      </w:pPr>
                      <w:r w:rsidRPr="00491B75">
                        <w:rPr>
                          <w:rFonts w:cstheme="minorHAnsi"/>
                          <w:b/>
                          <w:bCs/>
                          <w:sz w:val="16"/>
                          <w:szCs w:val="16"/>
                        </w:rPr>
                        <w:t xml:space="preserve">Figure 4: </w:t>
                      </w:r>
                      <w:r w:rsidRPr="00491B75">
                        <w:rPr>
                          <w:rFonts w:cstheme="minorHAnsi"/>
                          <w:sz w:val="16"/>
                          <w:szCs w:val="16"/>
                        </w:rPr>
                        <w:t xml:space="preserve"> Comparison of dataset splitting methodologies in molecular machine learning. A Random Split (left) can lead to data leakage and model memorization because highly similar molecular structures (proximal points) can appear in both the training and test sets. A Scaffold Split (right) ensures that molecules sharing a common core structure (scaffold) are kept in the same partition, enforcing a separation of structurally distinct chemical spaces between the training (blue) and test (red) sets, which facilitates true generalization to unseen chemistries.</w:t>
                      </w:r>
                    </w:p>
                  </w:txbxContent>
                </v:textbox>
              </v:shape>
            </w:pict>
          </mc:Fallback>
        </mc:AlternateContent>
      </w:r>
      <w:r w:rsidR="004C1A55" w:rsidRPr="004C1A55">
        <w:rPr>
          <w:rFonts w:cstheme="minorHAnsi"/>
          <w:b/>
          <w:bCs/>
          <w:noProof/>
        </w:rPr>
        <w:drawing>
          <wp:inline distT="0" distB="0" distL="0" distR="0" wp14:anchorId="4C536128" wp14:editId="35C3161F">
            <wp:extent cx="4581525" cy="1638300"/>
            <wp:effectExtent l="0" t="0" r="952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stretch>
                      <a:fillRect/>
                    </a:stretch>
                  </pic:blipFill>
                  <pic:spPr>
                    <a:xfrm>
                      <a:off x="0" y="0"/>
                      <a:ext cx="4581525" cy="1638300"/>
                    </a:xfrm>
                    <a:prstGeom prst="rect">
                      <a:avLst/>
                    </a:prstGeom>
                  </pic:spPr>
                </pic:pic>
              </a:graphicData>
            </a:graphic>
          </wp:inline>
        </w:drawing>
      </w:r>
    </w:p>
    <w:p w:rsidR="004C1A55" w:rsidRDefault="004C1A55" w:rsidP="002C0810">
      <w:pPr>
        <w:spacing w:before="240" w:after="0" w:line="360" w:lineRule="auto"/>
        <w:jc w:val="both"/>
        <w:rPr>
          <w:rFonts w:cstheme="minorHAnsi"/>
          <w:b/>
          <w:bCs/>
        </w:rPr>
      </w:pPr>
    </w:p>
    <w:p w:rsidR="00491B75" w:rsidRDefault="00491B75" w:rsidP="002C0810">
      <w:pPr>
        <w:spacing w:before="240" w:after="0" w:line="360" w:lineRule="auto"/>
        <w:jc w:val="both"/>
        <w:rPr>
          <w:rFonts w:cstheme="minorHAnsi"/>
          <w:b/>
          <w:bCs/>
        </w:rPr>
      </w:pPr>
    </w:p>
    <w:p w:rsidR="00C57922" w:rsidRPr="002C0810" w:rsidRDefault="00C57922" w:rsidP="00491B75">
      <w:pPr>
        <w:spacing w:after="0" w:line="360" w:lineRule="auto"/>
        <w:jc w:val="both"/>
        <w:rPr>
          <w:rFonts w:cstheme="minorHAnsi"/>
          <w:b/>
          <w:bCs/>
        </w:rPr>
      </w:pPr>
      <w:r w:rsidRPr="002C0810">
        <w:rPr>
          <w:rFonts w:cstheme="minorHAnsi"/>
          <w:b/>
          <w:bCs/>
        </w:rPr>
        <w:t>4.2.2 Performance Metrics: Aligning Evaluation with Scientific Goals</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Evaluation metrics must transcend aggregate scores to reflect model physical reliability and alignment with discovery objectives.</w:t>
      </w:r>
    </w:p>
    <w:p w:rsidR="00C57922" w:rsidRPr="00F02B89" w:rsidRDefault="00C57922" w:rsidP="00F02B89">
      <w:pPr>
        <w:pStyle w:val="ListParagraph"/>
        <w:numPr>
          <w:ilvl w:val="1"/>
          <w:numId w:val="19"/>
        </w:numPr>
        <w:spacing w:after="0" w:line="360" w:lineRule="auto"/>
        <w:jc w:val="both"/>
        <w:rPr>
          <w:rFonts w:cstheme="minorHAnsi"/>
          <w:b/>
          <w:bCs/>
          <w:sz w:val="20"/>
          <w:szCs w:val="20"/>
        </w:rPr>
      </w:pPr>
      <w:r w:rsidRPr="00F02B89">
        <w:rPr>
          <w:rFonts w:cstheme="minorHAnsi"/>
          <w:b/>
          <w:bCs/>
          <w:sz w:val="20"/>
          <w:szCs w:val="20"/>
        </w:rPr>
        <w:t>Regression Metrics for Predictive Modeling</w:t>
      </w:r>
    </w:p>
    <w:p w:rsidR="00C57922" w:rsidRPr="006C7800" w:rsidRDefault="00C57922" w:rsidP="002C0810">
      <w:pPr>
        <w:spacing w:after="0" w:line="360" w:lineRule="auto"/>
        <w:jc w:val="both"/>
        <w:rPr>
          <w:rFonts w:cstheme="minorHAnsi"/>
          <w:sz w:val="20"/>
          <w:szCs w:val="20"/>
        </w:rPr>
      </w:pPr>
      <w:r w:rsidRPr="006C7800">
        <w:rPr>
          <w:rFonts w:cstheme="minorHAnsi"/>
          <w:sz w:val="20"/>
          <w:szCs w:val="20"/>
        </w:rPr>
        <w:t xml:space="preserve">For a dataset with </w:t>
      </w:r>
      <w:r w:rsidRPr="00F02B89">
        <w:rPr>
          <w:rFonts w:cstheme="minorHAnsi"/>
          <w:sz w:val="20"/>
          <w:szCs w:val="20"/>
        </w:rPr>
        <w:t xml:space="preserve">predicted values </w:t>
      </w:r>
      <w:r w:rsidR="00F02B89" w:rsidRPr="00F02B89">
        <w:rPr>
          <w:rFonts w:asciiTheme="majorBidi" w:eastAsia="Times New Roman" w:hAnsiTheme="majorBidi" w:cstheme="majorBidi"/>
          <w:i/>
          <w:iCs/>
        </w:rPr>
        <w:t>ŷi</w:t>
      </w:r>
      <w:r w:rsidR="00F02B89" w:rsidRPr="00F02B89">
        <w:rPr>
          <w:rFonts w:cstheme="minorHAnsi"/>
          <w:sz w:val="20"/>
          <w:szCs w:val="20"/>
        </w:rPr>
        <w:t xml:space="preserve"> </w:t>
      </w:r>
      <w:r w:rsidRPr="00F02B89">
        <w:rPr>
          <w:rFonts w:cstheme="minorHAnsi"/>
          <w:sz w:val="20"/>
          <w:szCs w:val="20"/>
        </w:rPr>
        <w:t>and ground</w:t>
      </w:r>
      <w:r w:rsidRPr="006C7800">
        <w:rPr>
          <w:rFonts w:cstheme="minorHAnsi"/>
          <w:sz w:val="20"/>
          <w:szCs w:val="20"/>
        </w:rPr>
        <w:t>-</w:t>
      </w:r>
      <w:r w:rsidRPr="00F02B89">
        <w:rPr>
          <w:rFonts w:cstheme="minorHAnsi"/>
          <w:sz w:val="20"/>
          <w:szCs w:val="20"/>
        </w:rPr>
        <w:t xml:space="preserve">truth </w:t>
      </w:r>
      <w:r w:rsidR="00F02B89" w:rsidRPr="00F02B89">
        <w:rPr>
          <w:rFonts w:cstheme="minorHAnsi"/>
          <w:sz w:val="20"/>
          <w:szCs w:val="20"/>
        </w:rPr>
        <w:t xml:space="preserve">values </w:t>
      </w:r>
      <w:r w:rsidR="00F02B89" w:rsidRPr="00F02B89">
        <w:rPr>
          <w:rFonts w:ascii="Cambria Math" w:hAnsi="Cambria Math" w:cs="Cambria Math"/>
          <w:sz w:val="20"/>
          <w:szCs w:val="20"/>
        </w:rPr>
        <w:t>𝑦𝑖</w:t>
      </w:r>
      <w:r w:rsidR="00F02B89" w:rsidRPr="00F02B89">
        <w:rPr>
          <w:rFonts w:cstheme="minorHAnsi"/>
          <w:sz w:val="20"/>
          <w:szCs w:val="20"/>
        </w:rPr>
        <w:t xml:space="preserve"> </w:t>
      </w:r>
      <w:r w:rsidRPr="00F02B89">
        <w:rPr>
          <w:rFonts w:cstheme="minorHAnsi"/>
          <w:sz w:val="20"/>
          <w:szCs w:val="20"/>
        </w:rPr>
        <w:t xml:space="preserve">performance </w:t>
      </w:r>
      <w:r w:rsidRPr="006C7800">
        <w:rPr>
          <w:rFonts w:cstheme="minorHAnsi"/>
          <w:sz w:val="20"/>
          <w:szCs w:val="20"/>
        </w:rPr>
        <w:t>is assessed using error types:</w:t>
      </w:r>
    </w:p>
    <w:p w:rsidR="00C57922" w:rsidRPr="002C0810" w:rsidRDefault="00C57922" w:rsidP="004D0E2F">
      <w:pPr>
        <w:numPr>
          <w:ilvl w:val="0"/>
          <w:numId w:val="27"/>
        </w:numPr>
        <w:spacing w:after="0" w:line="360" w:lineRule="auto"/>
        <w:jc w:val="both"/>
        <w:rPr>
          <w:rFonts w:cstheme="minorHAnsi"/>
          <w:b/>
          <w:bCs/>
          <w:sz w:val="20"/>
          <w:szCs w:val="20"/>
        </w:rPr>
      </w:pPr>
      <w:r w:rsidRPr="002C0810">
        <w:rPr>
          <w:rFonts w:cstheme="minorHAnsi"/>
          <w:b/>
          <w:bCs/>
          <w:sz w:val="20"/>
          <w:szCs w:val="20"/>
        </w:rPr>
        <w:t xml:space="preserve">Mean Absolute Error (MAE): </w:t>
      </w:r>
    </w:p>
    <w:p w:rsidR="00F02B89" w:rsidRPr="00F02B89" w:rsidRDefault="00F02B89" w:rsidP="00F02B89">
      <w:pPr>
        <w:spacing w:after="0" w:line="480" w:lineRule="auto"/>
        <w:ind w:left="720"/>
        <w:jc w:val="both"/>
        <w:rPr>
          <w:rFonts w:asciiTheme="majorBidi" w:eastAsia="Times New Roman" w:hAnsiTheme="majorBidi" w:cstheme="majorBidi"/>
          <w:sz w:val="18"/>
          <w:szCs w:val="18"/>
        </w:rPr>
      </w:pPr>
      <m:oMathPara>
        <m:oMath>
          <m:r>
            <w:rPr>
              <w:rFonts w:ascii="Cambria Math" w:eastAsia="Times New Roman" w:hAnsi="Cambria Math" w:cstheme="majorBidi"/>
              <w:sz w:val="18"/>
              <w:szCs w:val="18"/>
            </w:rPr>
            <m:t>MAE =</m:t>
          </m:r>
          <m:f>
            <m:fPr>
              <m:ctrlPr>
                <w:rPr>
                  <w:rFonts w:ascii="Cambria Math" w:eastAsia="Times New Roman" w:hAnsi="Cambria Math" w:cstheme="majorBidi"/>
                  <w:i/>
                  <w:sz w:val="18"/>
                  <w:szCs w:val="18"/>
                </w:rPr>
              </m:ctrlPr>
            </m:fPr>
            <m:num>
              <m:r>
                <w:rPr>
                  <w:rFonts w:ascii="Cambria Math" w:eastAsia="Times New Roman" w:hAnsi="Cambria Math" w:cstheme="majorBidi"/>
                  <w:sz w:val="18"/>
                  <w:szCs w:val="18"/>
                </w:rPr>
                <m:t>1</m:t>
              </m:r>
            </m:num>
            <m:den>
              <m:r>
                <w:rPr>
                  <w:rFonts w:ascii="Cambria Math" w:eastAsia="Times New Roman" w:hAnsi="Cambria Math" w:cstheme="majorBidi"/>
                  <w:sz w:val="18"/>
                  <w:szCs w:val="18"/>
                </w:rPr>
                <m:t>N</m:t>
              </m:r>
            </m:den>
          </m:f>
          <m:nary>
            <m:naryPr>
              <m:chr m:val="∑"/>
              <m:ctrlPr>
                <w:rPr>
                  <w:rFonts w:ascii="Cambria Math" w:eastAsia="Times New Roman" w:hAnsi="Cambria Math" w:cstheme="majorBidi"/>
                  <w:i/>
                  <w:sz w:val="18"/>
                  <w:szCs w:val="18"/>
                </w:rPr>
              </m:ctrlPr>
            </m:naryPr>
            <m:sub>
              <m:r>
                <w:rPr>
                  <w:rFonts w:ascii="Cambria Math" w:eastAsia="Times New Roman" w:hAnsi="Cambria Math" w:cstheme="majorBidi"/>
                  <w:sz w:val="18"/>
                  <w:szCs w:val="18"/>
                </w:rPr>
                <m:t>i=1</m:t>
              </m:r>
            </m:sub>
            <m:sup>
              <m:r>
                <w:rPr>
                  <w:rFonts w:ascii="Cambria Math" w:eastAsia="Times New Roman" w:hAnsi="Cambria Math" w:cstheme="majorBidi"/>
                  <w:sz w:val="18"/>
                  <w:szCs w:val="18"/>
                </w:rPr>
                <m:t>N</m:t>
              </m:r>
            </m:sup>
            <m:e>
              <m:d>
                <m:dPr>
                  <m:begChr m:val="|"/>
                  <m:endChr m:val="|"/>
                  <m:ctrlPr>
                    <w:rPr>
                      <w:rFonts w:ascii="Cambria Math" w:eastAsia="Times New Roman" w:hAnsi="Cambria Math" w:cstheme="majorBidi"/>
                      <w:i/>
                      <w:sz w:val="18"/>
                      <w:szCs w:val="18"/>
                    </w:rPr>
                  </m:ctrlPr>
                </m:dPr>
                <m:e>
                  <m:sSub>
                    <m:sSubPr>
                      <m:ctrlPr>
                        <w:rPr>
                          <w:rFonts w:ascii="Cambria Math" w:eastAsia="Times New Roman" w:hAnsi="Cambria Math" w:cstheme="majorBidi"/>
                          <w:i/>
                          <w:sz w:val="18"/>
                          <w:szCs w:val="18"/>
                        </w:rPr>
                      </m:ctrlPr>
                    </m:sSubPr>
                    <m:e>
                      <m:r>
                        <w:rPr>
                          <w:rFonts w:ascii="Cambria Math" w:eastAsia="Times New Roman" w:hAnsi="Cambria Math" w:cstheme="majorBidi"/>
                          <w:sz w:val="18"/>
                          <w:szCs w:val="18"/>
                        </w:rPr>
                        <m:t>y</m:t>
                      </m:r>
                    </m:e>
                    <m:sub>
                      <m:r>
                        <w:rPr>
                          <w:rFonts w:ascii="Cambria Math" w:eastAsia="Times New Roman" w:hAnsi="Cambria Math" w:cstheme="majorBidi"/>
                          <w:sz w:val="18"/>
                          <w:szCs w:val="18"/>
                        </w:rPr>
                        <m:t>i</m:t>
                      </m:r>
                    </m:sub>
                  </m:sSub>
                  <m:r>
                    <w:rPr>
                      <w:rFonts w:ascii="Cambria Math" w:eastAsia="Times New Roman" w:hAnsi="Cambria Math" w:cstheme="majorBidi"/>
                      <w:sz w:val="18"/>
                      <w:szCs w:val="18"/>
                    </w:rPr>
                    <m:t xml:space="preserve">-  </m:t>
                  </m:r>
                  <m:sSub>
                    <m:sSubPr>
                      <m:ctrlPr>
                        <w:rPr>
                          <w:rFonts w:ascii="Cambria Math" w:eastAsia="Times New Roman" w:hAnsi="Cambria Math" w:cstheme="majorBidi"/>
                          <w:i/>
                          <w:sz w:val="18"/>
                          <w:szCs w:val="18"/>
                        </w:rPr>
                      </m:ctrlPr>
                    </m:sSubPr>
                    <m:e>
                      <m:acc>
                        <m:accPr>
                          <m:ctrlPr>
                            <w:rPr>
                              <w:rFonts w:ascii="Cambria Math" w:eastAsia="Times New Roman" w:hAnsi="Cambria Math" w:cstheme="majorBidi"/>
                              <w:i/>
                              <w:sz w:val="18"/>
                              <w:szCs w:val="18"/>
                            </w:rPr>
                          </m:ctrlPr>
                        </m:accPr>
                        <m:e>
                          <m:r>
                            <w:rPr>
                              <w:rFonts w:ascii="Cambria Math" w:eastAsia="Times New Roman" w:hAnsi="Cambria Math" w:cstheme="majorBidi"/>
                              <w:sz w:val="18"/>
                              <w:szCs w:val="18"/>
                            </w:rPr>
                            <m:t>y</m:t>
                          </m:r>
                        </m:e>
                      </m:acc>
                    </m:e>
                    <m:sub>
                      <m:r>
                        <w:rPr>
                          <w:rFonts w:ascii="Cambria Math" w:eastAsia="Times New Roman" w:hAnsi="Cambria Math" w:cstheme="majorBidi"/>
                          <w:sz w:val="18"/>
                          <w:szCs w:val="18"/>
                        </w:rPr>
                        <m:t>i</m:t>
                      </m:r>
                    </m:sub>
                  </m:sSub>
                </m:e>
              </m:d>
            </m:e>
          </m:nary>
        </m:oMath>
      </m:oMathPara>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MAE quantifies typical error magnitude, providing direct measure of average predictive accuracy in property units.</w:t>
      </w:r>
    </w:p>
    <w:p w:rsidR="00C57922" w:rsidRPr="002C0810" w:rsidRDefault="00C57922" w:rsidP="004D0E2F">
      <w:pPr>
        <w:numPr>
          <w:ilvl w:val="0"/>
          <w:numId w:val="27"/>
        </w:numPr>
        <w:spacing w:after="0" w:line="360" w:lineRule="auto"/>
        <w:jc w:val="both"/>
        <w:rPr>
          <w:rFonts w:cstheme="minorHAnsi"/>
          <w:b/>
          <w:bCs/>
          <w:sz w:val="20"/>
          <w:szCs w:val="20"/>
        </w:rPr>
      </w:pPr>
      <w:r w:rsidRPr="002C0810">
        <w:rPr>
          <w:rFonts w:cstheme="minorHAnsi"/>
          <w:b/>
          <w:bCs/>
          <w:sz w:val="20"/>
          <w:szCs w:val="20"/>
        </w:rPr>
        <w:t xml:space="preserve">Root Mean Square Error (RMSE): </w:t>
      </w:r>
    </w:p>
    <w:p w:rsidR="00F02B89" w:rsidRPr="00F02B89" w:rsidRDefault="00F02B89" w:rsidP="002C0810">
      <w:pPr>
        <w:spacing w:after="0" w:line="360" w:lineRule="auto"/>
        <w:jc w:val="both"/>
        <w:rPr>
          <w:rFonts w:cstheme="minorHAnsi"/>
          <w:sz w:val="18"/>
          <w:szCs w:val="18"/>
        </w:rPr>
      </w:pPr>
      <m:oMathPara>
        <m:oMath>
          <m:r>
            <w:rPr>
              <w:rFonts w:ascii="Cambria Math" w:eastAsia="Times New Roman" w:hAnsi="Cambria Math" w:cstheme="majorBidi"/>
              <w:sz w:val="18"/>
              <w:szCs w:val="18"/>
            </w:rPr>
            <m:t xml:space="preserve">RMSE = </m:t>
          </m:r>
          <m:rad>
            <m:radPr>
              <m:degHide m:val="1"/>
              <m:ctrlPr>
                <w:rPr>
                  <w:rFonts w:ascii="Cambria Math" w:eastAsia="Times New Roman" w:hAnsi="Cambria Math" w:cstheme="majorBidi"/>
                  <w:i/>
                  <w:sz w:val="18"/>
                  <w:szCs w:val="18"/>
                </w:rPr>
              </m:ctrlPr>
            </m:radPr>
            <m:deg/>
            <m:e>
              <m:f>
                <m:fPr>
                  <m:ctrlPr>
                    <w:rPr>
                      <w:rFonts w:ascii="Cambria Math" w:eastAsia="Times New Roman" w:hAnsi="Cambria Math" w:cstheme="majorBidi"/>
                      <w:i/>
                      <w:sz w:val="18"/>
                      <w:szCs w:val="18"/>
                    </w:rPr>
                  </m:ctrlPr>
                </m:fPr>
                <m:num>
                  <m:r>
                    <w:rPr>
                      <w:rFonts w:ascii="Cambria Math" w:eastAsia="Times New Roman" w:hAnsi="Cambria Math" w:cstheme="majorBidi"/>
                      <w:sz w:val="18"/>
                      <w:szCs w:val="18"/>
                    </w:rPr>
                    <m:t>1</m:t>
                  </m:r>
                </m:num>
                <m:den>
                  <m:r>
                    <w:rPr>
                      <w:rFonts w:ascii="Cambria Math" w:eastAsia="Times New Roman" w:hAnsi="Cambria Math" w:cstheme="majorBidi"/>
                      <w:sz w:val="18"/>
                      <w:szCs w:val="18"/>
                    </w:rPr>
                    <m:t>N</m:t>
                  </m:r>
                </m:den>
              </m:f>
              <m:nary>
                <m:naryPr>
                  <m:chr m:val="∑"/>
                  <m:ctrlPr>
                    <w:rPr>
                      <w:rFonts w:ascii="Cambria Math" w:eastAsia="Times New Roman" w:hAnsi="Cambria Math" w:cstheme="majorBidi"/>
                      <w:i/>
                      <w:sz w:val="18"/>
                      <w:szCs w:val="18"/>
                    </w:rPr>
                  </m:ctrlPr>
                </m:naryPr>
                <m:sub>
                  <m:r>
                    <w:rPr>
                      <w:rFonts w:ascii="Cambria Math" w:eastAsia="Times New Roman" w:hAnsi="Cambria Math" w:cstheme="majorBidi"/>
                      <w:sz w:val="18"/>
                      <w:szCs w:val="18"/>
                    </w:rPr>
                    <m:t>i=1</m:t>
                  </m:r>
                </m:sub>
                <m:sup>
                  <m:r>
                    <w:rPr>
                      <w:rFonts w:ascii="Cambria Math" w:eastAsia="Times New Roman" w:hAnsi="Cambria Math" w:cstheme="majorBidi"/>
                      <w:sz w:val="18"/>
                      <w:szCs w:val="18"/>
                    </w:rPr>
                    <m:t>N</m:t>
                  </m:r>
                </m:sup>
                <m:e>
                  <m:sSup>
                    <m:sSupPr>
                      <m:ctrlPr>
                        <w:rPr>
                          <w:rFonts w:ascii="Cambria Math" w:eastAsia="Times New Roman" w:hAnsi="Cambria Math" w:cstheme="majorBidi"/>
                          <w:i/>
                          <w:sz w:val="18"/>
                          <w:szCs w:val="18"/>
                        </w:rPr>
                      </m:ctrlPr>
                    </m:sSupPr>
                    <m:e>
                      <m:d>
                        <m:dPr>
                          <m:ctrlPr>
                            <w:rPr>
                              <w:rFonts w:ascii="Cambria Math" w:eastAsia="Times New Roman" w:hAnsi="Cambria Math" w:cstheme="majorBidi"/>
                              <w:i/>
                              <w:sz w:val="18"/>
                              <w:szCs w:val="18"/>
                            </w:rPr>
                          </m:ctrlPr>
                        </m:dPr>
                        <m:e>
                          <m:sSub>
                            <m:sSubPr>
                              <m:ctrlPr>
                                <w:rPr>
                                  <w:rFonts w:ascii="Cambria Math" w:eastAsia="Times New Roman" w:hAnsi="Cambria Math" w:cstheme="majorBidi"/>
                                  <w:i/>
                                  <w:sz w:val="18"/>
                                  <w:szCs w:val="18"/>
                                </w:rPr>
                              </m:ctrlPr>
                            </m:sSubPr>
                            <m:e>
                              <m:r>
                                <w:rPr>
                                  <w:rFonts w:ascii="Cambria Math" w:eastAsia="Times New Roman" w:hAnsi="Cambria Math" w:cstheme="majorBidi"/>
                                  <w:sz w:val="18"/>
                                  <w:szCs w:val="18"/>
                                </w:rPr>
                                <m:t>y</m:t>
                              </m:r>
                            </m:e>
                            <m:sub>
                              <m:r>
                                <w:rPr>
                                  <w:rFonts w:ascii="Cambria Math" w:eastAsia="Times New Roman" w:hAnsi="Cambria Math" w:cstheme="majorBidi"/>
                                  <w:sz w:val="18"/>
                                  <w:szCs w:val="18"/>
                                </w:rPr>
                                <m:t>i</m:t>
                              </m:r>
                            </m:sub>
                          </m:sSub>
                          <m:r>
                            <w:rPr>
                              <w:rFonts w:ascii="Cambria Math" w:eastAsia="Times New Roman" w:hAnsi="Cambria Math" w:cstheme="majorBidi"/>
                              <w:sz w:val="18"/>
                              <w:szCs w:val="18"/>
                            </w:rPr>
                            <m:t xml:space="preserve">- </m:t>
                          </m:r>
                          <m:sSub>
                            <m:sSubPr>
                              <m:ctrlPr>
                                <w:rPr>
                                  <w:rFonts w:ascii="Cambria Math" w:eastAsia="Times New Roman" w:hAnsi="Cambria Math" w:cstheme="majorBidi"/>
                                  <w:i/>
                                  <w:sz w:val="18"/>
                                  <w:szCs w:val="18"/>
                                </w:rPr>
                              </m:ctrlPr>
                            </m:sSubPr>
                            <m:e>
                              <m:acc>
                                <m:accPr>
                                  <m:ctrlPr>
                                    <w:rPr>
                                      <w:rFonts w:ascii="Cambria Math" w:eastAsia="Times New Roman" w:hAnsi="Cambria Math" w:cstheme="majorBidi"/>
                                      <w:i/>
                                      <w:sz w:val="18"/>
                                      <w:szCs w:val="18"/>
                                    </w:rPr>
                                  </m:ctrlPr>
                                </m:accPr>
                                <m:e>
                                  <m:r>
                                    <w:rPr>
                                      <w:rFonts w:ascii="Cambria Math" w:eastAsia="Times New Roman" w:hAnsi="Cambria Math" w:cstheme="majorBidi"/>
                                      <w:sz w:val="18"/>
                                      <w:szCs w:val="18"/>
                                    </w:rPr>
                                    <m:t xml:space="preserve"> y</m:t>
                                  </m:r>
                                </m:e>
                              </m:acc>
                            </m:e>
                            <m:sub>
                              <m:r>
                                <w:rPr>
                                  <w:rFonts w:ascii="Cambria Math" w:eastAsia="Times New Roman" w:hAnsi="Cambria Math" w:cstheme="majorBidi"/>
                                  <w:sz w:val="18"/>
                                  <w:szCs w:val="18"/>
                                </w:rPr>
                                <m:t>i</m:t>
                              </m:r>
                            </m:sub>
                          </m:sSub>
                        </m:e>
                      </m:d>
                    </m:e>
                    <m:sup>
                      <m:r>
                        <w:rPr>
                          <w:rFonts w:ascii="Cambria Math" w:eastAsia="Times New Roman" w:hAnsi="Cambria Math" w:cstheme="majorBidi"/>
                          <w:sz w:val="18"/>
                          <w:szCs w:val="18"/>
                        </w:rPr>
                        <m:t>2</m:t>
                      </m:r>
                    </m:sup>
                  </m:sSup>
                </m:e>
              </m:nary>
            </m:e>
          </m:rad>
        </m:oMath>
      </m:oMathPara>
    </w:p>
    <w:p w:rsidR="00C57922" w:rsidRPr="006C7800" w:rsidRDefault="00C57922" w:rsidP="002C0810">
      <w:pPr>
        <w:spacing w:after="0" w:line="360" w:lineRule="auto"/>
        <w:jc w:val="both"/>
        <w:rPr>
          <w:rFonts w:cstheme="minorHAnsi"/>
          <w:sz w:val="20"/>
          <w:szCs w:val="20"/>
        </w:rPr>
      </w:pPr>
      <w:r w:rsidRPr="006C7800">
        <w:rPr>
          <w:rFonts w:cstheme="minorHAnsi"/>
          <w:sz w:val="20"/>
          <w:szCs w:val="20"/>
        </w:rPr>
        <w:t xml:space="preserve">RMSE disproportionately penalizes outliers due to the squared error term, critical for safety-sensitive properties (e.g., </w:t>
      </w:r>
      <w:r w:rsidRPr="006C7800">
        <w:rPr>
          <w:rFonts w:cstheme="minorHAnsi"/>
          <w:i/>
          <w:iCs/>
          <w:sz w:val="20"/>
          <w:szCs w:val="20"/>
        </w:rPr>
        <w:t>Tg</w:t>
      </w:r>
      <w:r w:rsidRPr="006C7800">
        <w:rPr>
          <w:rFonts w:cstheme="minorHAnsi"/>
          <w:sz w:val="20"/>
          <w:szCs w:val="20"/>
        </w:rPr>
        <w:t>​, modulus) where large deviations lead to material failure.</w:t>
      </w:r>
    </w:p>
    <w:p w:rsidR="002C0810" w:rsidRDefault="00C57922" w:rsidP="002C0810">
      <w:pPr>
        <w:spacing w:after="0" w:line="360" w:lineRule="auto"/>
        <w:jc w:val="both"/>
        <w:rPr>
          <w:rFonts w:cstheme="minorHAnsi"/>
          <w:b/>
          <w:bCs/>
          <w:sz w:val="20"/>
          <w:szCs w:val="20"/>
        </w:rPr>
      </w:pPr>
      <w:r w:rsidRPr="002C0810">
        <w:rPr>
          <w:rFonts w:cstheme="minorHAnsi"/>
          <w:b/>
          <w:bCs/>
          <w:sz w:val="20"/>
          <w:szCs w:val="20"/>
        </w:rPr>
        <w:t>The "R² Trap" and Conditional Error Analysis:</w:t>
      </w:r>
    </w:p>
    <w:p w:rsidR="00C57922" w:rsidRPr="006C7800" w:rsidRDefault="00C57922" w:rsidP="002C0810">
      <w:pPr>
        <w:spacing w:after="0" w:line="360" w:lineRule="auto"/>
        <w:jc w:val="both"/>
        <w:rPr>
          <w:rFonts w:cstheme="minorHAnsi"/>
          <w:sz w:val="20"/>
          <w:szCs w:val="20"/>
        </w:rPr>
      </w:pPr>
      <w:r w:rsidRPr="006C7800">
        <w:rPr>
          <w:rFonts w:cstheme="minorHAnsi"/>
          <w:i/>
          <w:iCs/>
          <w:sz w:val="20"/>
          <w:szCs w:val="20"/>
        </w:rPr>
        <w:t>R</w:t>
      </w:r>
      <w:r w:rsidRPr="006C7800">
        <w:rPr>
          <w:rFonts w:cstheme="minorHAnsi"/>
          <w:sz w:val="20"/>
          <w:szCs w:val="20"/>
        </w:rPr>
        <w:t>2</w:t>
      </w:r>
      <w:r w:rsidR="002C0810">
        <w:rPr>
          <w:rFonts w:cstheme="minorHAnsi"/>
          <w:sz w:val="20"/>
          <w:szCs w:val="20"/>
        </w:rPr>
        <w:t xml:space="preserve"> </w:t>
      </w:r>
      <w:r w:rsidRPr="006C7800">
        <w:rPr>
          <w:rFonts w:cstheme="minorHAnsi"/>
          <w:sz w:val="20"/>
          <w:szCs w:val="20"/>
        </w:rPr>
        <w:t xml:space="preserve">can be misleadingly high in skewed datasets or when models interpolate within dense clusters. To ensure Trustworthy AI, researchers must perform Conditional Error Analysis, calculating MAE across distinct property regimes (e.g., low, medium, high </w:t>
      </w:r>
      <w:r w:rsidRPr="006C7800">
        <w:rPr>
          <w:rFonts w:cstheme="minorHAnsi"/>
          <w:i/>
          <w:iCs/>
          <w:sz w:val="20"/>
          <w:szCs w:val="20"/>
        </w:rPr>
        <w:t>Tg</w:t>
      </w:r>
      <w:r w:rsidRPr="006C7800">
        <w:rPr>
          <w:rFonts w:cstheme="minorHAnsi"/>
          <w:sz w:val="20"/>
          <w:szCs w:val="20"/>
        </w:rPr>
        <w:t>​). This reveals systematic biases aggregate metrics obscure. While these metrics quantify past performance, achieving Trustworthy AI requires Uncertainty Quantification (Section 4.2.3) to determine model confidence in future predictions.</w:t>
      </w:r>
    </w:p>
    <w:p w:rsidR="00C57922" w:rsidRPr="00F02B89" w:rsidRDefault="00C57922" w:rsidP="00F02B89">
      <w:pPr>
        <w:pStyle w:val="ListParagraph"/>
        <w:numPr>
          <w:ilvl w:val="1"/>
          <w:numId w:val="19"/>
        </w:numPr>
        <w:spacing w:before="240" w:after="0" w:line="360" w:lineRule="auto"/>
        <w:jc w:val="both"/>
        <w:rPr>
          <w:rFonts w:cstheme="minorHAnsi"/>
          <w:b/>
          <w:bCs/>
          <w:sz w:val="20"/>
          <w:szCs w:val="20"/>
        </w:rPr>
      </w:pPr>
      <w:r w:rsidRPr="00F02B89">
        <w:rPr>
          <w:rFonts w:cstheme="minorHAnsi"/>
          <w:b/>
          <w:bCs/>
          <w:sz w:val="20"/>
          <w:szCs w:val="20"/>
        </w:rPr>
        <w:t>Generative Modeling Metrics: The VUND+ Framework</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Evaluating de novo polymer design requires multidimensional criteria beyond chemical "correctness" to address material utility and laboratory feasibility. We propose the VUND+ Framework as a standardized metric suite:</w:t>
      </w:r>
    </w:p>
    <w:p w:rsidR="00C57922" w:rsidRPr="006C7800" w:rsidRDefault="00C57922" w:rsidP="004D0E2F">
      <w:pPr>
        <w:numPr>
          <w:ilvl w:val="0"/>
          <w:numId w:val="28"/>
        </w:numPr>
        <w:spacing w:after="0" w:line="360" w:lineRule="auto"/>
        <w:jc w:val="both"/>
        <w:rPr>
          <w:rFonts w:cstheme="minorHAnsi"/>
          <w:sz w:val="20"/>
          <w:szCs w:val="20"/>
        </w:rPr>
      </w:pPr>
      <w:r w:rsidRPr="006F2DD6">
        <w:rPr>
          <w:rFonts w:cstheme="minorHAnsi"/>
          <w:b/>
          <w:bCs/>
          <w:sz w:val="20"/>
          <w:szCs w:val="20"/>
        </w:rPr>
        <w:lastRenderedPageBreak/>
        <w:t>Validity:</w:t>
      </w:r>
      <w:r w:rsidRPr="006C7800">
        <w:rPr>
          <w:rFonts w:cstheme="minorHAnsi"/>
          <w:sz w:val="20"/>
          <w:szCs w:val="20"/>
        </w:rPr>
        <w:t xml:space="preserve"> Fraction of generated structures satisfying fundamental chemical constraints (valency, ring strain) and conforming to syntax like BigSMILES. High validity ensures the model learned polymer chemistry "grammar."</w:t>
      </w:r>
    </w:p>
    <w:p w:rsidR="00C57922" w:rsidRPr="006C7800" w:rsidRDefault="00C57922" w:rsidP="004D0E2F">
      <w:pPr>
        <w:numPr>
          <w:ilvl w:val="0"/>
          <w:numId w:val="28"/>
        </w:numPr>
        <w:spacing w:after="0" w:line="360" w:lineRule="auto"/>
        <w:jc w:val="both"/>
        <w:rPr>
          <w:rFonts w:cstheme="minorHAnsi"/>
          <w:sz w:val="20"/>
          <w:szCs w:val="20"/>
        </w:rPr>
      </w:pPr>
      <w:r w:rsidRPr="006F2DD6">
        <w:rPr>
          <w:rFonts w:cstheme="minorHAnsi"/>
          <w:b/>
          <w:bCs/>
          <w:sz w:val="20"/>
          <w:szCs w:val="20"/>
        </w:rPr>
        <w:t>Uniqueness:</w:t>
      </w:r>
      <w:r w:rsidRPr="006C7800">
        <w:rPr>
          <w:rFonts w:cstheme="minorHAnsi"/>
          <w:sz w:val="20"/>
          <w:szCs w:val="20"/>
        </w:rPr>
        <w:t xml:space="preserve"> Fraction of valid structures that are non-duplicate. This identifies "mode collapse," where generators produce limited, repetitive high-scoring outputs.</w:t>
      </w:r>
    </w:p>
    <w:p w:rsidR="00C57922" w:rsidRPr="006C7800" w:rsidRDefault="00C57922" w:rsidP="004D0E2F">
      <w:pPr>
        <w:numPr>
          <w:ilvl w:val="0"/>
          <w:numId w:val="28"/>
        </w:numPr>
        <w:spacing w:after="0" w:line="360" w:lineRule="auto"/>
        <w:jc w:val="both"/>
        <w:rPr>
          <w:rFonts w:cstheme="minorHAnsi"/>
          <w:sz w:val="20"/>
          <w:szCs w:val="20"/>
        </w:rPr>
      </w:pPr>
      <w:r w:rsidRPr="006F2DD6">
        <w:rPr>
          <w:rFonts w:cstheme="minorHAnsi"/>
          <w:b/>
          <w:bCs/>
          <w:sz w:val="20"/>
          <w:szCs w:val="20"/>
        </w:rPr>
        <w:t xml:space="preserve">Novelty: </w:t>
      </w:r>
      <w:r w:rsidRPr="006C7800">
        <w:rPr>
          <w:rFonts w:cstheme="minorHAnsi"/>
          <w:sz w:val="20"/>
          <w:szCs w:val="20"/>
        </w:rPr>
        <w:t>Fraction of valid structures absent from the training set. High novelty indicates generalization beyond training distribution and ability to propose original architectures.</w:t>
      </w:r>
    </w:p>
    <w:p w:rsidR="00C57922" w:rsidRPr="006C7800" w:rsidRDefault="00C57922" w:rsidP="004D0E2F">
      <w:pPr>
        <w:numPr>
          <w:ilvl w:val="0"/>
          <w:numId w:val="28"/>
        </w:numPr>
        <w:spacing w:after="0" w:line="360" w:lineRule="auto"/>
        <w:jc w:val="both"/>
        <w:rPr>
          <w:rFonts w:cstheme="minorHAnsi"/>
          <w:sz w:val="20"/>
          <w:szCs w:val="20"/>
        </w:rPr>
      </w:pPr>
      <w:r w:rsidRPr="006F2DD6">
        <w:rPr>
          <w:rFonts w:cstheme="minorHAnsi"/>
          <w:b/>
          <w:bCs/>
          <w:sz w:val="20"/>
          <w:szCs w:val="20"/>
        </w:rPr>
        <w:t>Diversity:</w:t>
      </w:r>
      <w:r w:rsidRPr="006C7800">
        <w:rPr>
          <w:rFonts w:cstheme="minorHAnsi"/>
          <w:sz w:val="20"/>
          <w:szCs w:val="20"/>
        </w:rPr>
        <w:t xml:space="preserve"> Measure of structural variance within the generated pool, typically calculated via Tanimoto distance between fingerprints. High diversity is essential for broad chemical space exploration.</w:t>
      </w:r>
    </w:p>
    <w:p w:rsidR="00C57922" w:rsidRPr="002C0810" w:rsidRDefault="00C57922" w:rsidP="002C0810">
      <w:pPr>
        <w:numPr>
          <w:ilvl w:val="0"/>
          <w:numId w:val="28"/>
        </w:numPr>
        <w:spacing w:after="0" w:line="360" w:lineRule="auto"/>
        <w:jc w:val="both"/>
        <w:rPr>
          <w:rFonts w:cstheme="minorHAnsi"/>
          <w:sz w:val="20"/>
          <w:szCs w:val="20"/>
        </w:rPr>
      </w:pPr>
      <w:r w:rsidRPr="006F2DD6">
        <w:rPr>
          <w:rFonts w:cstheme="minorHAnsi"/>
          <w:b/>
          <w:bCs/>
          <w:sz w:val="20"/>
          <w:szCs w:val="20"/>
        </w:rPr>
        <w:t>Property Hit Rate:</w:t>
      </w:r>
      <w:r w:rsidRPr="006C7800">
        <w:rPr>
          <w:rFonts w:cstheme="minorHAnsi"/>
          <w:sz w:val="20"/>
          <w:szCs w:val="20"/>
        </w:rPr>
        <w:t xml:space="preserve"> For conditional generation, fraction of candidates meeting target specifications (e.g., </w:t>
      </w:r>
      <w:r w:rsidRPr="002C0810">
        <w:rPr>
          <w:rFonts w:cstheme="minorHAnsi"/>
          <w:i/>
          <w:iCs/>
          <w:sz w:val="20"/>
          <w:szCs w:val="20"/>
        </w:rPr>
        <w:t>Tg</w:t>
      </w:r>
      <w:r w:rsidRPr="002C0810">
        <w:rPr>
          <w:rFonts w:cstheme="minorHAnsi"/>
          <w:sz w:val="20"/>
          <w:szCs w:val="20"/>
        </w:rPr>
        <w:t>​&gt;200</w:t>
      </w:r>
      <w:r w:rsidRPr="002C0810">
        <w:rPr>
          <w:rFonts w:ascii="Cambria Math" w:hAnsi="Cambria Math" w:cs="Cambria Math"/>
          <w:sz w:val="20"/>
          <w:szCs w:val="20"/>
        </w:rPr>
        <w:t>∘</w:t>
      </w:r>
      <w:r w:rsidRPr="002C0810">
        <w:rPr>
          <w:rFonts w:cstheme="minorHAnsi"/>
          <w:i/>
          <w:iCs/>
          <w:sz w:val="20"/>
          <w:szCs w:val="20"/>
        </w:rPr>
        <w:t>C</w:t>
      </w:r>
      <w:r w:rsidR="002C0810" w:rsidRPr="002C0810">
        <w:rPr>
          <w:rFonts w:cstheme="minorHAnsi"/>
          <w:i/>
          <w:iCs/>
          <w:sz w:val="20"/>
          <w:szCs w:val="20"/>
        </w:rPr>
        <w:t xml:space="preserve"> </w:t>
      </w:r>
      <w:r w:rsidRPr="002C0810">
        <w:rPr>
          <w:rFonts w:cstheme="minorHAnsi"/>
          <w:sz w:val="20"/>
          <w:szCs w:val="20"/>
        </w:rPr>
        <w:t>and Ð &lt; 1.2).</w:t>
      </w:r>
    </w:p>
    <w:p w:rsidR="00C57922" w:rsidRPr="006C7800" w:rsidRDefault="00C57922" w:rsidP="004D0E2F">
      <w:pPr>
        <w:numPr>
          <w:ilvl w:val="0"/>
          <w:numId w:val="28"/>
        </w:numPr>
        <w:spacing w:after="0" w:line="360" w:lineRule="auto"/>
        <w:jc w:val="both"/>
        <w:rPr>
          <w:rFonts w:cstheme="minorHAnsi"/>
          <w:sz w:val="20"/>
          <w:szCs w:val="20"/>
        </w:rPr>
      </w:pPr>
      <w:r w:rsidRPr="006F2DD6">
        <w:rPr>
          <w:rFonts w:cstheme="minorHAnsi"/>
          <w:b/>
          <w:bCs/>
          <w:sz w:val="20"/>
          <w:szCs w:val="20"/>
        </w:rPr>
        <w:t>Synthesis Accessibility (SA) [+]:</w:t>
      </w:r>
      <w:r w:rsidRPr="006C7800">
        <w:rPr>
          <w:rFonts w:cstheme="minorHAnsi"/>
          <w:sz w:val="20"/>
          <w:szCs w:val="20"/>
        </w:rPr>
        <w:t xml:space="preserve"> The "plus" in VUND+ bridges experimental reality. SA scores, calculated via fragment-based complexity analysis (e.g., SAScore) or reaction-pathway predictors, estimate synthesis ease. Without high SA, a novel polymer remains a "virtual curiosity" with no experimental path.</w:t>
      </w:r>
    </w:p>
    <w:p w:rsidR="00C57922" w:rsidRPr="006F2DD6" w:rsidRDefault="00C57922" w:rsidP="006F2DD6">
      <w:pPr>
        <w:spacing w:before="240" w:after="0" w:line="360" w:lineRule="auto"/>
        <w:jc w:val="both"/>
        <w:rPr>
          <w:rFonts w:cstheme="minorHAnsi"/>
          <w:b/>
          <w:bCs/>
        </w:rPr>
      </w:pPr>
      <w:r w:rsidRPr="006F2DD6">
        <w:rPr>
          <w:rFonts w:cstheme="minorHAnsi"/>
          <w:b/>
          <w:bCs/>
        </w:rPr>
        <w:t>4.2.3 Uncertainty Quantification and Model Calibration</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To reliably guide autonomous discovery or high-stakes validation, models must offer robust confidence intervals, not just point predictions. We categorize model doubt into two primary forms:</w:t>
      </w:r>
    </w:p>
    <w:p w:rsidR="00C57922" w:rsidRPr="006C7800" w:rsidRDefault="00C57922" w:rsidP="004D0E2F">
      <w:pPr>
        <w:numPr>
          <w:ilvl w:val="0"/>
          <w:numId w:val="29"/>
        </w:numPr>
        <w:spacing w:after="0" w:line="360" w:lineRule="auto"/>
        <w:jc w:val="both"/>
        <w:rPr>
          <w:rFonts w:cstheme="minorHAnsi"/>
          <w:sz w:val="20"/>
          <w:szCs w:val="20"/>
        </w:rPr>
      </w:pPr>
      <w:r w:rsidRPr="006F2DD6">
        <w:rPr>
          <w:rFonts w:cstheme="minorHAnsi"/>
          <w:b/>
          <w:bCs/>
          <w:sz w:val="20"/>
          <w:szCs w:val="20"/>
        </w:rPr>
        <w:t>Aleatoric Uncertainty [58]:</w:t>
      </w:r>
      <w:r w:rsidRPr="006C7800">
        <w:rPr>
          <w:rFonts w:cstheme="minorHAnsi"/>
          <w:sz w:val="20"/>
          <w:szCs w:val="20"/>
        </w:rPr>
        <w:t xml:space="preserve"> Irreducible stochasticity inherent in data, arising from measurement noise or non-equilibrium polymer sample nature.</w:t>
      </w:r>
    </w:p>
    <w:p w:rsidR="00C57922" w:rsidRPr="006C7800" w:rsidRDefault="00C57922" w:rsidP="004D0E2F">
      <w:pPr>
        <w:numPr>
          <w:ilvl w:val="0"/>
          <w:numId w:val="29"/>
        </w:numPr>
        <w:spacing w:after="0" w:line="360" w:lineRule="auto"/>
        <w:jc w:val="both"/>
        <w:rPr>
          <w:rFonts w:cstheme="minorHAnsi"/>
          <w:sz w:val="20"/>
          <w:szCs w:val="20"/>
        </w:rPr>
      </w:pPr>
      <w:r w:rsidRPr="006F2DD6">
        <w:rPr>
          <w:rFonts w:cstheme="minorHAnsi"/>
          <w:b/>
          <w:bCs/>
          <w:sz w:val="20"/>
          <w:szCs w:val="20"/>
        </w:rPr>
        <w:t>Epistemic Uncertainty [58]:</w:t>
      </w:r>
      <w:r w:rsidRPr="006C7800">
        <w:rPr>
          <w:rFonts w:cstheme="minorHAnsi"/>
          <w:sz w:val="20"/>
          <w:szCs w:val="20"/>
        </w:rPr>
        <w:t xml:space="preserve"> Model uncertainty caused by lack of data in specific chemical space regions. Unlike aleatoric noise, epistemic uncertainty is reducible through targeted data acquisition, making it critical for Active Learning loops.</w:t>
      </w:r>
    </w:p>
    <w:p w:rsidR="00C57922" w:rsidRPr="006C7800" w:rsidRDefault="00C57922" w:rsidP="006F2DD6">
      <w:pPr>
        <w:spacing w:after="0" w:line="360" w:lineRule="auto"/>
        <w:jc w:val="both"/>
        <w:rPr>
          <w:rFonts w:cstheme="minorHAnsi"/>
          <w:sz w:val="20"/>
          <w:szCs w:val="20"/>
        </w:rPr>
      </w:pPr>
      <w:r w:rsidRPr="006F2DD6">
        <w:rPr>
          <w:rFonts w:cstheme="minorHAnsi"/>
          <w:b/>
          <w:bCs/>
          <w:sz w:val="20"/>
          <w:szCs w:val="20"/>
        </w:rPr>
        <w:t xml:space="preserve">Estimation Methods and </w:t>
      </w:r>
      <w:r w:rsidR="006F2DD6" w:rsidRPr="006F2DD6">
        <w:rPr>
          <w:rFonts w:cstheme="minorHAnsi"/>
          <w:b/>
          <w:bCs/>
          <w:sz w:val="20"/>
          <w:szCs w:val="20"/>
        </w:rPr>
        <w:t>Calibration</w:t>
      </w:r>
      <w:r w:rsidR="006F2DD6">
        <w:rPr>
          <w:rFonts w:cstheme="minorHAnsi"/>
          <w:b/>
          <w:bCs/>
          <w:sz w:val="20"/>
          <w:szCs w:val="20"/>
        </w:rPr>
        <w:t xml:space="preserve">: </w:t>
      </w:r>
      <w:r w:rsidRPr="006C7800">
        <w:rPr>
          <w:rFonts w:cstheme="minorHAnsi"/>
          <w:sz w:val="20"/>
          <w:szCs w:val="20"/>
        </w:rPr>
        <w:t>To quantify uncertainties, researchers [4,80] should move beyond simple variance and adopt rigorous probabilistic frameworks:</w:t>
      </w:r>
    </w:p>
    <w:p w:rsidR="00C57922" w:rsidRPr="006C7800" w:rsidRDefault="00C57922" w:rsidP="004D0E2F">
      <w:pPr>
        <w:numPr>
          <w:ilvl w:val="0"/>
          <w:numId w:val="30"/>
        </w:numPr>
        <w:spacing w:after="0" w:line="360" w:lineRule="auto"/>
        <w:jc w:val="both"/>
        <w:rPr>
          <w:rFonts w:cstheme="minorHAnsi"/>
          <w:sz w:val="20"/>
          <w:szCs w:val="20"/>
        </w:rPr>
      </w:pPr>
      <w:r w:rsidRPr="006C7800">
        <w:rPr>
          <w:rFonts w:cstheme="minorHAnsi"/>
          <w:sz w:val="20"/>
          <w:szCs w:val="20"/>
        </w:rPr>
        <w:t>Ensemble Methods: Training multiple independent models (Deep Ensembles) to capture predictive variance.</w:t>
      </w:r>
    </w:p>
    <w:p w:rsidR="00C57922" w:rsidRPr="006C7800" w:rsidRDefault="00C57922" w:rsidP="004D0E2F">
      <w:pPr>
        <w:numPr>
          <w:ilvl w:val="0"/>
          <w:numId w:val="30"/>
        </w:numPr>
        <w:spacing w:after="0" w:line="360" w:lineRule="auto"/>
        <w:jc w:val="both"/>
        <w:rPr>
          <w:rFonts w:cstheme="minorHAnsi"/>
          <w:sz w:val="20"/>
          <w:szCs w:val="20"/>
        </w:rPr>
      </w:pPr>
      <w:r w:rsidRPr="006C7800">
        <w:rPr>
          <w:rFonts w:cstheme="minorHAnsi"/>
          <w:sz w:val="20"/>
          <w:szCs w:val="20"/>
        </w:rPr>
        <w:t>Bayesian Approximations [70]: Utilizing Monte Carlo (MC) Dropout or Variational Inference to provide outcome distributions.</w:t>
      </w:r>
    </w:p>
    <w:p w:rsidR="00C57922" w:rsidRPr="006C7800" w:rsidRDefault="00C57922" w:rsidP="004D0E2F">
      <w:pPr>
        <w:numPr>
          <w:ilvl w:val="0"/>
          <w:numId w:val="30"/>
        </w:numPr>
        <w:spacing w:after="0" w:line="360" w:lineRule="auto"/>
        <w:jc w:val="both"/>
        <w:rPr>
          <w:rFonts w:cstheme="minorHAnsi"/>
          <w:sz w:val="20"/>
          <w:szCs w:val="20"/>
        </w:rPr>
      </w:pPr>
      <w:r w:rsidRPr="006C7800">
        <w:rPr>
          <w:rFonts w:cstheme="minorHAnsi"/>
          <w:sz w:val="20"/>
          <w:szCs w:val="20"/>
        </w:rPr>
        <w:t>Conformal Prediction: A framework generating statistically valid prediction intervals without assuming underlying distributions, offering "distribution-free" reliability.</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Crucially, uncertainty estimates must be calibrated [48]. A model is well-calibrated if its predicted 95% confidence interval contains the true experimental value 95% of the time. Calibration should be assessed using Reliability Diagrams and Expected Calibration Error (ECE). Without proper calibration, a model may be "confidently wrong," leading to catastrophic failure and trust breakdown.</w:t>
      </w:r>
    </w:p>
    <w:p w:rsidR="00C57922" w:rsidRPr="006F2DD6" w:rsidRDefault="00C57922" w:rsidP="006F2DD6">
      <w:pPr>
        <w:spacing w:before="240" w:after="0" w:line="360" w:lineRule="auto"/>
        <w:jc w:val="both"/>
        <w:rPr>
          <w:rFonts w:cstheme="minorHAnsi"/>
          <w:b/>
          <w:bCs/>
        </w:rPr>
      </w:pPr>
      <w:r w:rsidRPr="006F2DD6">
        <w:rPr>
          <w:rFonts w:cstheme="minorHAnsi"/>
          <w:b/>
          <w:bCs/>
        </w:rPr>
        <w:lastRenderedPageBreak/>
        <w:t>4.3 The Validation Hierarchy</w:t>
      </w:r>
    </w:p>
    <w:p w:rsidR="00C57922" w:rsidRPr="006C7800" w:rsidRDefault="00C57922" w:rsidP="00F02B89">
      <w:pPr>
        <w:spacing w:line="360" w:lineRule="auto"/>
        <w:jc w:val="both"/>
        <w:rPr>
          <w:rFonts w:cstheme="minorHAnsi"/>
          <w:sz w:val="20"/>
          <w:szCs w:val="20"/>
        </w:rPr>
      </w:pPr>
      <w:r w:rsidRPr="006C7800">
        <w:rPr>
          <w:rFonts w:cstheme="minorHAnsi"/>
          <w:sz w:val="20"/>
          <w:szCs w:val="20"/>
        </w:rPr>
        <w:t>Progress is often</w:t>
      </w:r>
      <w:r w:rsidR="006F2DD6">
        <w:rPr>
          <w:rFonts w:cstheme="minorHAnsi"/>
          <w:sz w:val="20"/>
          <w:szCs w:val="20"/>
        </w:rPr>
        <w:t xml:space="preserve"> obscured by a "complexity trap", </w:t>
      </w:r>
      <w:r w:rsidRPr="006C7800">
        <w:rPr>
          <w:rFonts w:cstheme="minorHAnsi"/>
          <w:sz w:val="20"/>
          <w:szCs w:val="20"/>
        </w:rPr>
        <w:t>where sophisticated architectures deploy without outperforming established chemical theory. To ensure scientific utility, we propose a Hierarchy of Baseline Comparisons (see Table 8). This framework requires DL models to justify computational overhead by surpassing five rigor levels. Validating against Level 2 (Domain Heuristics), like Van Krevelen’s group contribution methods, proves neural networks capture more than basic additive physics. Conversely, Level 5 (Null Models) serves as a mandatory sanity check against data leakage, a pervasive issue in small, clustered datasets leading to "artificial" SOTA results through memorization.</w:t>
      </w:r>
    </w:p>
    <w:tbl>
      <w:tblPr>
        <w:tblStyle w:val="PlainTable1"/>
        <w:tblW w:w="0" w:type="auto"/>
        <w:tblLook w:val="04A0" w:firstRow="1" w:lastRow="0" w:firstColumn="1" w:lastColumn="0" w:noHBand="0" w:noVBand="1"/>
      </w:tblPr>
      <w:tblGrid>
        <w:gridCol w:w="646"/>
        <w:gridCol w:w="1416"/>
        <w:gridCol w:w="3256"/>
        <w:gridCol w:w="4032"/>
      </w:tblGrid>
      <w:tr w:rsidR="00F02B89" w:rsidRPr="00F02B89" w:rsidTr="00F02B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02B89" w:rsidRPr="00F02B89" w:rsidRDefault="00F02B89" w:rsidP="00F02B89">
            <w:pPr>
              <w:spacing w:line="276" w:lineRule="auto"/>
              <w:jc w:val="center"/>
              <w:rPr>
                <w:rFonts w:eastAsia="Times New Roman" w:cstheme="minorHAnsi"/>
                <w:sz w:val="20"/>
                <w:szCs w:val="20"/>
              </w:rPr>
            </w:pPr>
            <w:r w:rsidRPr="00F02B89">
              <w:rPr>
                <w:rFonts w:eastAsia="Times New Roman" w:cstheme="minorHAnsi"/>
                <w:sz w:val="20"/>
                <w:szCs w:val="20"/>
              </w:rPr>
              <w:t>Level</w:t>
            </w:r>
          </w:p>
        </w:tc>
        <w:tc>
          <w:tcPr>
            <w:tcW w:w="0" w:type="auto"/>
            <w:hideMark/>
          </w:tcPr>
          <w:p w:rsidR="00F02B89" w:rsidRPr="00F02B89" w:rsidRDefault="00F02B89" w:rsidP="00F02B89">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Baseline Type</w:t>
            </w:r>
          </w:p>
        </w:tc>
        <w:tc>
          <w:tcPr>
            <w:tcW w:w="0" w:type="auto"/>
            <w:hideMark/>
          </w:tcPr>
          <w:p w:rsidR="00F02B89" w:rsidRPr="00F02B89" w:rsidRDefault="00F02B89" w:rsidP="00F02B89">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Example Methods / Benchmarks</w:t>
            </w:r>
          </w:p>
        </w:tc>
        <w:tc>
          <w:tcPr>
            <w:tcW w:w="0" w:type="auto"/>
            <w:hideMark/>
          </w:tcPr>
          <w:p w:rsidR="00F02B89" w:rsidRPr="00F02B89" w:rsidRDefault="00F02B89" w:rsidP="00F02B89">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Validation Goal</w:t>
            </w:r>
          </w:p>
        </w:tc>
      </w:tr>
      <w:tr w:rsidR="00F02B89" w:rsidRPr="00F02B89" w:rsidTr="00F02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02B89" w:rsidRPr="00F02B89" w:rsidRDefault="00F02B89" w:rsidP="00F02B89">
            <w:pPr>
              <w:spacing w:line="276" w:lineRule="auto"/>
              <w:rPr>
                <w:rFonts w:eastAsia="Times New Roman" w:cstheme="minorHAnsi"/>
                <w:sz w:val="20"/>
                <w:szCs w:val="20"/>
              </w:rPr>
            </w:pPr>
            <w:r w:rsidRPr="00F02B89">
              <w:rPr>
                <w:rFonts w:eastAsia="Times New Roman" w:cstheme="minorHAnsi"/>
                <w:sz w:val="20"/>
                <w:szCs w:val="20"/>
              </w:rPr>
              <w:t>L1</w:t>
            </w:r>
          </w:p>
        </w:tc>
        <w:tc>
          <w:tcPr>
            <w:tcW w:w="0" w:type="auto"/>
            <w:hideMark/>
          </w:tcPr>
          <w:p w:rsidR="00F02B89" w:rsidRPr="00F02B89" w:rsidRDefault="00F02B89" w:rsidP="00F02B8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Classical ML</w:t>
            </w:r>
          </w:p>
        </w:tc>
        <w:tc>
          <w:tcPr>
            <w:tcW w:w="0" w:type="auto"/>
            <w:hideMark/>
          </w:tcPr>
          <w:p w:rsidR="00F02B89" w:rsidRPr="00F02B89" w:rsidRDefault="00F02B89" w:rsidP="00F02B8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Random Forest, XGBoost, SVM</w:t>
            </w:r>
          </w:p>
        </w:tc>
        <w:tc>
          <w:tcPr>
            <w:tcW w:w="0" w:type="auto"/>
            <w:hideMark/>
          </w:tcPr>
          <w:p w:rsidR="00F02B89" w:rsidRPr="00F02B89" w:rsidRDefault="00F02B89" w:rsidP="00F02B8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Establish performance ceiling for non</w:t>
            </w:r>
            <w:r w:rsidRPr="00F02B89">
              <w:rPr>
                <w:rFonts w:eastAsia="Times New Roman" w:cstheme="minorHAnsi"/>
                <w:sz w:val="20"/>
                <w:szCs w:val="20"/>
              </w:rPr>
              <w:noBreakHyphen/>
              <w:t>DL methods.</w:t>
            </w:r>
          </w:p>
        </w:tc>
      </w:tr>
      <w:tr w:rsidR="00F02B89" w:rsidRPr="00F02B89" w:rsidTr="00F02B89">
        <w:tc>
          <w:tcPr>
            <w:cnfStyle w:val="001000000000" w:firstRow="0" w:lastRow="0" w:firstColumn="1" w:lastColumn="0" w:oddVBand="0" w:evenVBand="0" w:oddHBand="0" w:evenHBand="0" w:firstRowFirstColumn="0" w:firstRowLastColumn="0" w:lastRowFirstColumn="0" w:lastRowLastColumn="0"/>
            <w:tcW w:w="0" w:type="auto"/>
            <w:hideMark/>
          </w:tcPr>
          <w:p w:rsidR="00F02B89" w:rsidRPr="00F02B89" w:rsidRDefault="00F02B89" w:rsidP="00F02B89">
            <w:pPr>
              <w:spacing w:line="276" w:lineRule="auto"/>
              <w:rPr>
                <w:rFonts w:eastAsia="Times New Roman" w:cstheme="minorHAnsi"/>
                <w:sz w:val="20"/>
                <w:szCs w:val="20"/>
              </w:rPr>
            </w:pPr>
            <w:r w:rsidRPr="00F02B89">
              <w:rPr>
                <w:rFonts w:eastAsia="Times New Roman" w:cstheme="minorHAnsi"/>
                <w:sz w:val="20"/>
                <w:szCs w:val="20"/>
              </w:rPr>
              <w:t>L2</w:t>
            </w:r>
          </w:p>
        </w:tc>
        <w:tc>
          <w:tcPr>
            <w:tcW w:w="0" w:type="auto"/>
            <w:hideMark/>
          </w:tcPr>
          <w:p w:rsidR="00F02B89" w:rsidRPr="00F02B89" w:rsidRDefault="00F02B89" w:rsidP="00F02B8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Domain Heuristics</w:t>
            </w:r>
          </w:p>
        </w:tc>
        <w:tc>
          <w:tcPr>
            <w:tcW w:w="0" w:type="auto"/>
            <w:hideMark/>
          </w:tcPr>
          <w:p w:rsidR="00F02B89" w:rsidRPr="00F02B89" w:rsidRDefault="00F02B89" w:rsidP="00F02B8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Van Krevelen group contribution, Flory–Huggins</w:t>
            </w:r>
          </w:p>
        </w:tc>
        <w:tc>
          <w:tcPr>
            <w:tcW w:w="0" w:type="auto"/>
            <w:hideMark/>
          </w:tcPr>
          <w:p w:rsidR="00F02B89" w:rsidRPr="00F02B89" w:rsidRDefault="00F02B89" w:rsidP="00F02B8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Justify DL complexity by surpassing physics</w:t>
            </w:r>
            <w:r w:rsidRPr="00F02B89">
              <w:rPr>
                <w:rFonts w:eastAsia="Times New Roman" w:cstheme="minorHAnsi"/>
                <w:sz w:val="20"/>
                <w:szCs w:val="20"/>
              </w:rPr>
              <w:noBreakHyphen/>
              <w:t>based models.</w:t>
            </w:r>
          </w:p>
        </w:tc>
      </w:tr>
      <w:tr w:rsidR="00F02B89" w:rsidRPr="00F02B89" w:rsidTr="00F02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02B89" w:rsidRPr="00F02B89" w:rsidRDefault="00F02B89" w:rsidP="00F02B89">
            <w:pPr>
              <w:spacing w:line="276" w:lineRule="auto"/>
              <w:rPr>
                <w:rFonts w:eastAsia="Times New Roman" w:cstheme="minorHAnsi"/>
                <w:sz w:val="20"/>
                <w:szCs w:val="20"/>
              </w:rPr>
            </w:pPr>
            <w:r w:rsidRPr="00F02B89">
              <w:rPr>
                <w:rFonts w:eastAsia="Times New Roman" w:cstheme="minorHAnsi"/>
                <w:sz w:val="20"/>
                <w:szCs w:val="20"/>
              </w:rPr>
              <w:t>L3</w:t>
            </w:r>
          </w:p>
        </w:tc>
        <w:tc>
          <w:tcPr>
            <w:tcW w:w="0" w:type="auto"/>
            <w:hideMark/>
          </w:tcPr>
          <w:p w:rsidR="00F02B89" w:rsidRPr="00F02B89" w:rsidRDefault="00F02B89" w:rsidP="00F02B8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Previous SOTA</w:t>
            </w:r>
          </w:p>
        </w:tc>
        <w:tc>
          <w:tcPr>
            <w:tcW w:w="0" w:type="auto"/>
            <w:hideMark/>
          </w:tcPr>
          <w:p w:rsidR="00F02B89" w:rsidRPr="00F02B89" w:rsidRDefault="00F02B89" w:rsidP="00F02B8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Top published model (same dataset, splits, and preprocessing)</w:t>
            </w:r>
          </w:p>
        </w:tc>
        <w:tc>
          <w:tcPr>
            <w:tcW w:w="0" w:type="auto"/>
            <w:hideMark/>
          </w:tcPr>
          <w:p w:rsidR="00F02B89" w:rsidRPr="00F02B89" w:rsidRDefault="00F02B89" w:rsidP="00F02B8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Quantify incremental gains over existing benchmarks.</w:t>
            </w:r>
          </w:p>
        </w:tc>
      </w:tr>
      <w:tr w:rsidR="00F02B89" w:rsidRPr="00F02B89" w:rsidTr="00F02B89">
        <w:tc>
          <w:tcPr>
            <w:cnfStyle w:val="001000000000" w:firstRow="0" w:lastRow="0" w:firstColumn="1" w:lastColumn="0" w:oddVBand="0" w:evenVBand="0" w:oddHBand="0" w:evenHBand="0" w:firstRowFirstColumn="0" w:firstRowLastColumn="0" w:lastRowFirstColumn="0" w:lastRowLastColumn="0"/>
            <w:tcW w:w="0" w:type="auto"/>
            <w:hideMark/>
          </w:tcPr>
          <w:p w:rsidR="00F02B89" w:rsidRPr="00F02B89" w:rsidRDefault="00F02B89" w:rsidP="00F02B89">
            <w:pPr>
              <w:spacing w:line="276" w:lineRule="auto"/>
              <w:rPr>
                <w:rFonts w:eastAsia="Times New Roman" w:cstheme="minorHAnsi"/>
                <w:sz w:val="20"/>
                <w:szCs w:val="20"/>
              </w:rPr>
            </w:pPr>
            <w:r w:rsidRPr="00F02B89">
              <w:rPr>
                <w:rFonts w:eastAsia="Times New Roman" w:cstheme="minorHAnsi"/>
                <w:sz w:val="20"/>
                <w:szCs w:val="20"/>
              </w:rPr>
              <w:t>L4</w:t>
            </w:r>
          </w:p>
        </w:tc>
        <w:tc>
          <w:tcPr>
            <w:tcW w:w="0" w:type="auto"/>
            <w:hideMark/>
          </w:tcPr>
          <w:p w:rsidR="00F02B89" w:rsidRPr="00F02B89" w:rsidRDefault="00F02B89" w:rsidP="00F02B8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Ablated Model</w:t>
            </w:r>
          </w:p>
        </w:tc>
        <w:tc>
          <w:tcPr>
            <w:tcW w:w="0" w:type="auto"/>
            <w:hideMark/>
          </w:tcPr>
          <w:p w:rsidR="00F02B89" w:rsidRPr="00F02B89" w:rsidRDefault="00F02B89" w:rsidP="00F02B8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Model minus proposed novel component</w:t>
            </w:r>
          </w:p>
        </w:tc>
        <w:tc>
          <w:tcPr>
            <w:tcW w:w="0" w:type="auto"/>
            <w:hideMark/>
          </w:tcPr>
          <w:p w:rsidR="00F02B89" w:rsidRPr="00F02B89" w:rsidRDefault="00F02B89" w:rsidP="00F02B8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Isolate the contribution of specific architectural or representational innovations.</w:t>
            </w:r>
          </w:p>
        </w:tc>
      </w:tr>
      <w:tr w:rsidR="00F02B89" w:rsidRPr="00F02B89" w:rsidTr="00F02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02B89" w:rsidRPr="00F02B89" w:rsidRDefault="00F02B89" w:rsidP="00F02B89">
            <w:pPr>
              <w:spacing w:line="276" w:lineRule="auto"/>
              <w:rPr>
                <w:rFonts w:eastAsia="Times New Roman" w:cstheme="minorHAnsi"/>
                <w:sz w:val="20"/>
                <w:szCs w:val="20"/>
              </w:rPr>
            </w:pPr>
            <w:r w:rsidRPr="00F02B89">
              <w:rPr>
                <w:rFonts w:eastAsia="Times New Roman" w:cstheme="minorHAnsi"/>
                <w:sz w:val="20"/>
                <w:szCs w:val="20"/>
              </w:rPr>
              <w:t>L5</w:t>
            </w:r>
          </w:p>
        </w:tc>
        <w:tc>
          <w:tcPr>
            <w:tcW w:w="0" w:type="auto"/>
            <w:hideMark/>
          </w:tcPr>
          <w:p w:rsidR="00F02B89" w:rsidRPr="00F02B89" w:rsidRDefault="00F02B89" w:rsidP="00F02B8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Null / Sanity Models</w:t>
            </w:r>
          </w:p>
        </w:tc>
        <w:tc>
          <w:tcPr>
            <w:tcW w:w="0" w:type="auto"/>
            <w:hideMark/>
          </w:tcPr>
          <w:p w:rsidR="00F02B89" w:rsidRPr="00F02B89" w:rsidRDefault="00F02B89" w:rsidP="00F02B8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k</w:t>
            </w:r>
            <w:r w:rsidRPr="00F02B89">
              <w:rPr>
                <w:rFonts w:eastAsia="Times New Roman" w:cstheme="minorHAnsi"/>
                <w:sz w:val="20"/>
                <w:szCs w:val="20"/>
              </w:rPr>
              <w:noBreakHyphen/>
              <w:t>NN, shuffled labels, random feature, baseline predictors</w:t>
            </w:r>
          </w:p>
        </w:tc>
        <w:tc>
          <w:tcPr>
            <w:tcW w:w="0" w:type="auto"/>
            <w:hideMark/>
          </w:tcPr>
          <w:p w:rsidR="00F02B89" w:rsidRPr="00F02B89" w:rsidRDefault="00F02B89" w:rsidP="00F02B89">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Detect data leakage and verify true learnability.</w:t>
            </w:r>
          </w:p>
        </w:tc>
      </w:tr>
    </w:tbl>
    <w:p w:rsidR="00F02B89" w:rsidRDefault="00F02B89" w:rsidP="004D0E2F">
      <w:pPr>
        <w:spacing w:after="0" w:line="360" w:lineRule="auto"/>
        <w:jc w:val="both"/>
        <w:rPr>
          <w:rFonts w:cstheme="minorHAnsi"/>
          <w:sz w:val="20"/>
          <w:szCs w:val="20"/>
        </w:rPr>
      </w:pPr>
      <w:r w:rsidRPr="00DE4DC4">
        <w:rPr>
          <w:rFonts w:asciiTheme="majorBidi" w:eastAsia="Times New Roman" w:hAnsiTheme="majorBidi" w:cstheme="majorBidi"/>
          <w:noProof/>
        </w:rPr>
        <mc:AlternateContent>
          <mc:Choice Requires="wps">
            <w:drawing>
              <wp:anchor distT="0" distB="0" distL="114300" distR="114300" simplePos="0" relativeHeight="251683840" behindDoc="0" locked="0" layoutInCell="1" allowOverlap="1" wp14:anchorId="22EEAC97" wp14:editId="395FE802">
                <wp:simplePos x="0" y="0"/>
                <wp:positionH relativeFrom="margin">
                  <wp:align>left</wp:align>
                </wp:positionH>
                <wp:positionV relativeFrom="paragraph">
                  <wp:posOffset>80010</wp:posOffset>
                </wp:positionV>
                <wp:extent cx="6296453" cy="619125"/>
                <wp:effectExtent l="0" t="0" r="9525" b="9525"/>
                <wp:wrapNone/>
                <wp:docPr id="13" name="Text Box 13"/>
                <wp:cNvGraphicFramePr/>
                <a:graphic xmlns:a="http://schemas.openxmlformats.org/drawingml/2006/main">
                  <a:graphicData uri="http://schemas.microsoft.com/office/word/2010/wordprocessingShape">
                    <wps:wsp>
                      <wps:cNvSpPr txBox="1"/>
                      <wps:spPr>
                        <a:xfrm>
                          <a:off x="0" y="0"/>
                          <a:ext cx="6296453" cy="619125"/>
                        </a:xfrm>
                        <a:prstGeom prst="rect">
                          <a:avLst/>
                        </a:prstGeom>
                        <a:solidFill>
                          <a:schemeClr val="lt1"/>
                        </a:solidFill>
                        <a:ln w="6350">
                          <a:noFill/>
                        </a:ln>
                      </wps:spPr>
                      <wps:txbx>
                        <w:txbxContent>
                          <w:p w:rsidR="005562ED" w:rsidRPr="00F02B89" w:rsidRDefault="005562ED" w:rsidP="00F02B89">
                            <w:pPr>
                              <w:spacing w:line="276" w:lineRule="auto"/>
                              <w:rPr>
                                <w:rFonts w:eastAsia="Times New Roman" w:cstheme="minorHAnsi"/>
                                <w:b/>
                                <w:bCs/>
                                <w:sz w:val="18"/>
                                <w:szCs w:val="18"/>
                              </w:rPr>
                            </w:pPr>
                            <w:r w:rsidRPr="00F02B89">
                              <w:rPr>
                                <w:rFonts w:eastAsia="Times New Roman" w:cstheme="minorHAnsi"/>
                                <w:b/>
                                <w:bCs/>
                                <w:sz w:val="18"/>
                                <w:szCs w:val="18"/>
                              </w:rPr>
                              <w:t>Table 8:</w:t>
                            </w:r>
                            <w:r w:rsidRPr="00F02B89">
                              <w:rPr>
                                <w:rFonts w:eastAsia="Times New Roman" w:cstheme="minorHAnsi"/>
                                <w:sz w:val="18"/>
                                <w:szCs w:val="18"/>
                              </w:rPr>
                              <w:t xml:space="preserve"> A five-level validation hierarchy for polymer DL models. Each level introduces increasing rigor, from classical ML and domain heuristics to prior SOTA, ablation studies and null models. This framework ensures that DL models are evaluated against both established baselines and sanity checks.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EAC97" id="Text Box 13" o:spid="_x0000_s1037" type="#_x0000_t202" style="position:absolute;left:0;text-align:left;margin-left:0;margin-top:6.3pt;width:495.8pt;height:48.75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q65QwIAAIMEAAAOAAAAZHJzL2Uyb0RvYy54bWysVFFv2jAQfp+0/2D5fQQosBYRKtaKaRJq&#10;K9Gpz8ZxSiTH59mGhP36fXaAsm5P016c8935u7vv7jK7bWvN9sr5ikzOB70+Z8pIKirzmvPvz8tP&#10;15z5IEwhNBmV84Py/Hb+8cOssVM1pC3pQjkGEOOnjc35NgQ7zTIvt6oWvkdWGRhLcrUIuLrXrHCi&#10;AXqts2G/P8kacoV1JJX30N53Rj5P+GWpZHgsS68C0zlHbiGdLp2beGbzmZi+OmG3lTymIf4hi1pU&#10;BkHPUPciCLZz1R9QdSUdeSpDT1KdUVlWUqUaUM2g/66a9VZYlWoBOd6eafL/D1Y+7J8cqwr07ooz&#10;I2r06Fm1gX2hlkEFfhrrp3BbWziGFnr4nvQeylh2W7o6flEQgx1MH87sRjQJ5WR4MxmNEUXCNhnc&#10;DIbjCJO9vbbOh6+KahaFnDt0L5Eq9isfOteTSwzmSVfFstI6XeLEqDvt2F6g1zqkHAH+m5c2rEHw&#10;q3E/ARuKzztkbZBLrLWrKUqh3bQdN+eCN1QcwIOjbpK8lcsKya6ED0/CYXRQOtYhPOIoNSEYHSXO&#10;tuR+/k0f/dFRWDlrMIo59z92winO9DeDXt8MRqM4u+kyGn8e4uIuLZtLi9nVdwQGBlg8K5MY/YM+&#10;iaWj+gVbs4hRYRJGInbOw0m8C92CYOukWiySE6bVirAyaysjdGQ8tuK5fRHOHvsV0OkHOg2tmL5r&#10;W+cbXxpa7AKVVeppJLpj9cg/Jj1NxXEr4ypd3pPX279j/gsAAP//AwBQSwMEFAAGAAgAAAAhAJ8A&#10;Ts3eAAAABwEAAA8AAABkcnMvZG93bnJldi54bWxMj0tPw0AMhO9I/IeVkbggukkrCg3ZVAjxkLjR&#10;8BA3N2uSiKw3ym6T8O8xJ7jZM9b4m3w7u06NNITWs4F0kYAirrxtuTbwUt6fX4EKEdli55kMfFOA&#10;bXF8lGNm/cTPNO5irSSEQ4YGmhj7TOtQNeQwLHxPLN6nHxxGWYda2wEnCXedXibJWjtsWT402NNt&#10;Q9XX7uAMfJzV709hfnidVher/u5xLC/fbGnM6cl8cw0q0hz/juEXX9ChEKa9P7ANqjMgRaKoyzUo&#10;cTebVIa9CGmSgi5y/Z+/+AEAAP//AwBQSwECLQAUAAYACAAAACEAtoM4kv4AAADhAQAAEwAAAAAA&#10;AAAAAAAAAAAAAAAAW0NvbnRlbnRfVHlwZXNdLnhtbFBLAQItABQABgAIAAAAIQA4/SH/1gAAAJQB&#10;AAALAAAAAAAAAAAAAAAAAC8BAABfcmVscy8ucmVsc1BLAQItABQABgAIAAAAIQAiOq65QwIAAIME&#10;AAAOAAAAAAAAAAAAAAAAAC4CAABkcnMvZTJvRG9jLnhtbFBLAQItABQABgAIAAAAIQCfAE7N3gAA&#10;AAcBAAAPAAAAAAAAAAAAAAAAAJ0EAABkcnMvZG93bnJldi54bWxQSwUGAAAAAAQABADzAAAAqAUA&#10;AAAA&#10;" fillcolor="white [3201]" stroked="f" strokeweight=".5pt">
                <v:textbox>
                  <w:txbxContent>
                    <w:p w:rsidR="005562ED" w:rsidRPr="00F02B89" w:rsidRDefault="005562ED" w:rsidP="00F02B89">
                      <w:pPr>
                        <w:spacing w:line="276" w:lineRule="auto"/>
                        <w:rPr>
                          <w:rFonts w:eastAsia="Times New Roman" w:cstheme="minorHAnsi"/>
                          <w:b/>
                          <w:bCs/>
                          <w:sz w:val="18"/>
                          <w:szCs w:val="18"/>
                        </w:rPr>
                      </w:pPr>
                      <w:r w:rsidRPr="00F02B89">
                        <w:rPr>
                          <w:rFonts w:eastAsia="Times New Roman" w:cstheme="minorHAnsi"/>
                          <w:b/>
                          <w:bCs/>
                          <w:sz w:val="18"/>
                          <w:szCs w:val="18"/>
                        </w:rPr>
                        <w:t>Table 8:</w:t>
                      </w:r>
                      <w:r w:rsidRPr="00F02B89">
                        <w:rPr>
                          <w:rFonts w:eastAsia="Times New Roman" w:cstheme="minorHAnsi"/>
                          <w:sz w:val="18"/>
                          <w:szCs w:val="18"/>
                        </w:rPr>
                        <w:t xml:space="preserve"> A five-level validation hierarchy for polymer DL models. Each level introduces increasing rigor, from classical ML and domain heuristics to prior SOTA, ablation studies and null models. This framework ensures that DL models are evaluated against both established baselines and sanity checks.</w:t>
                      </w:r>
                    </w:p>
                  </w:txbxContent>
                </v:textbox>
                <w10:wrap anchorx="margin"/>
              </v:shape>
            </w:pict>
          </mc:Fallback>
        </mc:AlternateContent>
      </w:r>
    </w:p>
    <w:p w:rsidR="00F02B89" w:rsidRDefault="00F02B89" w:rsidP="004D0E2F">
      <w:pPr>
        <w:spacing w:after="0" w:line="360" w:lineRule="auto"/>
        <w:jc w:val="both"/>
        <w:rPr>
          <w:rFonts w:cstheme="minorHAnsi"/>
          <w:sz w:val="20"/>
          <w:szCs w:val="20"/>
        </w:rPr>
      </w:pPr>
    </w:p>
    <w:p w:rsidR="00F02B89" w:rsidRDefault="00F02B89" w:rsidP="004D0E2F">
      <w:pPr>
        <w:spacing w:after="0" w:line="360" w:lineRule="auto"/>
        <w:jc w:val="both"/>
        <w:rPr>
          <w:rFonts w:cstheme="minorHAnsi"/>
          <w:sz w:val="20"/>
          <w:szCs w:val="20"/>
        </w:rPr>
      </w:pPr>
    </w:p>
    <w:p w:rsidR="00C57922" w:rsidRPr="006C7800" w:rsidRDefault="00C57922" w:rsidP="00F02B89">
      <w:pPr>
        <w:spacing w:before="240" w:after="0" w:line="360" w:lineRule="auto"/>
        <w:jc w:val="both"/>
        <w:rPr>
          <w:rFonts w:cstheme="minorHAnsi"/>
          <w:sz w:val="20"/>
          <w:szCs w:val="20"/>
        </w:rPr>
      </w:pPr>
      <w:r w:rsidRPr="006C7800">
        <w:rPr>
          <w:rFonts w:cstheme="minorHAnsi"/>
          <w:sz w:val="20"/>
          <w:szCs w:val="20"/>
        </w:rPr>
        <w:t>Rigorous benchmarking is impossible without verifiable reproducibility. Reviews of ML in materials science [96, 119] and polymer informatics [156, 157, 160] highlight data quality and splitting strategies as primary barriers. To transition from “black</w:t>
      </w:r>
      <w:r w:rsidRPr="006C7800">
        <w:rPr>
          <w:rFonts w:cstheme="minorHAnsi"/>
          <w:sz w:val="20"/>
          <w:szCs w:val="20"/>
        </w:rPr>
        <w:noBreakHyphen/>
        <w:t>box” claims to open science, the community should prioritize release of Public Artifacts (code, weights, exact split indices) and use of standardized evaluation environments. Platforms like PolymerGym and POINT² provide infrastructure ensuring reported gains are statistically significant and reproducible. Lessons from small</w:t>
      </w:r>
      <w:r w:rsidRPr="006C7800">
        <w:rPr>
          <w:rFonts w:cstheme="minorHAnsi"/>
          <w:sz w:val="20"/>
          <w:szCs w:val="20"/>
        </w:rPr>
        <w:noBreakHyphen/>
        <w:t>molecule benchmarks [151] and high</w:t>
      </w:r>
      <w:r w:rsidRPr="006C7800">
        <w:rPr>
          <w:rFonts w:cstheme="minorHAnsi"/>
          <w:sz w:val="20"/>
          <w:szCs w:val="20"/>
        </w:rPr>
        <w:noBreakHyphen/>
        <w:t>throughput platforms [22, 61] underscore the need for polymer-specific protocols.</w:t>
      </w:r>
    </w:p>
    <w:p w:rsidR="00C57922" w:rsidRPr="006F2DD6" w:rsidRDefault="00C57922" w:rsidP="006F2DD6">
      <w:pPr>
        <w:spacing w:before="240" w:after="0" w:line="360" w:lineRule="auto"/>
        <w:jc w:val="both"/>
        <w:rPr>
          <w:rFonts w:cstheme="minorHAnsi"/>
          <w:b/>
          <w:bCs/>
        </w:rPr>
      </w:pPr>
      <w:r w:rsidRPr="006F2DD6">
        <w:rPr>
          <w:rFonts w:cstheme="minorHAnsi"/>
          <w:b/>
          <w:bCs/>
        </w:rPr>
        <w:t>4.4 A Researcher’s Guide to Benchmarks</w:t>
      </w:r>
    </w:p>
    <w:p w:rsidR="00C57922" w:rsidRDefault="00C57922" w:rsidP="004D0E2F">
      <w:pPr>
        <w:spacing w:after="0" w:line="360" w:lineRule="auto"/>
        <w:jc w:val="both"/>
        <w:rPr>
          <w:rFonts w:cstheme="minorHAnsi"/>
          <w:sz w:val="20"/>
          <w:szCs w:val="20"/>
        </w:rPr>
      </w:pPr>
      <w:r w:rsidRPr="006C7800">
        <w:rPr>
          <w:rFonts w:cstheme="minorHAnsi"/>
          <w:sz w:val="20"/>
          <w:szCs w:val="20"/>
        </w:rPr>
        <w:t>Beyond raw data repositories, field maturity is reflected in a shift toward curated benchmark suites and standardized environments. Table 9 provides a strategic guide to primary resources driving polymer research, categorized by informatics utility.</w:t>
      </w:r>
    </w:p>
    <w:tbl>
      <w:tblPr>
        <w:tblStyle w:val="PlainTable1"/>
        <w:tblW w:w="9780" w:type="dxa"/>
        <w:tblLook w:val="04A0" w:firstRow="1" w:lastRow="0" w:firstColumn="1" w:lastColumn="0" w:noHBand="0" w:noVBand="1"/>
      </w:tblPr>
      <w:tblGrid>
        <w:gridCol w:w="1511"/>
        <w:gridCol w:w="1693"/>
        <w:gridCol w:w="1688"/>
        <w:gridCol w:w="2507"/>
        <w:gridCol w:w="2381"/>
      </w:tblGrid>
      <w:tr w:rsidR="00F02B89" w:rsidRPr="00F02B89" w:rsidTr="00F02B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02B89" w:rsidRPr="00F02B89" w:rsidRDefault="00F02B89" w:rsidP="00F02B89">
            <w:pPr>
              <w:rPr>
                <w:rFonts w:eastAsia="Times New Roman" w:cstheme="minorHAnsi"/>
                <w:sz w:val="20"/>
                <w:szCs w:val="20"/>
              </w:rPr>
            </w:pPr>
            <w:r w:rsidRPr="00F02B89">
              <w:rPr>
                <w:rFonts w:eastAsia="Times New Roman" w:cstheme="minorHAnsi"/>
                <w:sz w:val="20"/>
                <w:szCs w:val="20"/>
              </w:rPr>
              <w:t>Resource</w:t>
            </w:r>
          </w:p>
        </w:tc>
        <w:tc>
          <w:tcPr>
            <w:tcW w:w="0" w:type="auto"/>
            <w:hideMark/>
          </w:tcPr>
          <w:p w:rsidR="00F02B89" w:rsidRPr="00F02B89" w:rsidRDefault="00F02B89" w:rsidP="00F02B89">
            <w:pP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Type</w:t>
            </w:r>
          </w:p>
        </w:tc>
        <w:tc>
          <w:tcPr>
            <w:tcW w:w="0" w:type="auto"/>
            <w:hideMark/>
          </w:tcPr>
          <w:p w:rsidR="00F02B89" w:rsidRPr="00F02B89" w:rsidRDefault="00F02B89" w:rsidP="00F02B89">
            <w:pP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Primary Use Case</w:t>
            </w:r>
          </w:p>
        </w:tc>
        <w:tc>
          <w:tcPr>
            <w:tcW w:w="0" w:type="auto"/>
            <w:hideMark/>
          </w:tcPr>
          <w:p w:rsidR="00F02B89" w:rsidRPr="00F02B89" w:rsidRDefault="00F02B89" w:rsidP="00F02B89">
            <w:pP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Strengths</w:t>
            </w:r>
          </w:p>
        </w:tc>
        <w:tc>
          <w:tcPr>
            <w:tcW w:w="0" w:type="auto"/>
            <w:hideMark/>
          </w:tcPr>
          <w:p w:rsidR="00F02B89" w:rsidRPr="00F02B89" w:rsidRDefault="00F02B89" w:rsidP="00F02B89">
            <w:pP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Limitations</w:t>
            </w:r>
          </w:p>
        </w:tc>
      </w:tr>
      <w:tr w:rsidR="00F02B89" w:rsidRPr="00F02B89" w:rsidTr="00F02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02B89" w:rsidRPr="00F02B89" w:rsidRDefault="00F02B89" w:rsidP="00F02B89">
            <w:pPr>
              <w:rPr>
                <w:rFonts w:eastAsia="Times New Roman" w:cstheme="minorHAnsi"/>
                <w:b w:val="0"/>
                <w:bCs w:val="0"/>
                <w:sz w:val="20"/>
                <w:szCs w:val="20"/>
              </w:rPr>
            </w:pPr>
            <w:r w:rsidRPr="00F02B89">
              <w:rPr>
                <w:rFonts w:eastAsia="Times New Roman" w:cstheme="minorHAnsi"/>
                <w:sz w:val="20"/>
                <w:szCs w:val="20"/>
              </w:rPr>
              <w:t>PolyInfo</w:t>
            </w:r>
          </w:p>
          <w:p w:rsidR="00F02B89" w:rsidRPr="00F02B89" w:rsidRDefault="00F02B89" w:rsidP="00F02B89">
            <w:pPr>
              <w:rPr>
                <w:rFonts w:eastAsia="Times New Roman" w:cstheme="minorHAnsi"/>
                <w:sz w:val="20"/>
                <w:szCs w:val="20"/>
              </w:rPr>
            </w:pPr>
            <w:r w:rsidRPr="00F02B89">
              <w:rPr>
                <w:rFonts w:eastAsia="Times New Roman" w:cstheme="minorHAnsi"/>
                <w:sz w:val="20"/>
                <w:szCs w:val="20"/>
              </w:rPr>
              <w:t>[113]</w:t>
            </w:r>
          </w:p>
        </w:tc>
        <w:tc>
          <w:tcPr>
            <w:tcW w:w="0" w:type="auto"/>
            <w:hideMark/>
          </w:tcPr>
          <w:p w:rsidR="00F02B89" w:rsidRPr="00F02B89" w:rsidRDefault="00F02B89" w:rsidP="00F02B8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Experimental DB</w:t>
            </w:r>
          </w:p>
        </w:tc>
        <w:tc>
          <w:tcPr>
            <w:tcW w:w="0" w:type="auto"/>
            <w:hideMark/>
          </w:tcPr>
          <w:p w:rsidR="00F02B89" w:rsidRPr="00F02B89" w:rsidRDefault="00F02B89" w:rsidP="00F02B8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Predictive Modeling</w:t>
            </w:r>
          </w:p>
        </w:tc>
        <w:tc>
          <w:tcPr>
            <w:tcW w:w="0" w:type="auto"/>
            <w:hideMark/>
          </w:tcPr>
          <w:p w:rsidR="00F02B89" w:rsidRPr="00F02B89" w:rsidRDefault="00F02B89" w:rsidP="00F02B8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Largest curated experimental corpus (~26k polymers).</w:t>
            </w:r>
          </w:p>
        </w:tc>
        <w:tc>
          <w:tcPr>
            <w:tcW w:w="0" w:type="auto"/>
            <w:hideMark/>
          </w:tcPr>
          <w:p w:rsidR="00F02B89" w:rsidRPr="00F02B89" w:rsidRDefault="00F02B89" w:rsidP="00F02B8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Redistribution restrictions; metadata inconsistencies and missing values</w:t>
            </w:r>
          </w:p>
          <w:p w:rsidR="00F02B89" w:rsidRPr="00F02B89" w:rsidRDefault="00F02B89" w:rsidP="00F02B8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r>
      <w:tr w:rsidR="00F02B89" w:rsidRPr="00F02B89" w:rsidTr="00F02B89">
        <w:tc>
          <w:tcPr>
            <w:cnfStyle w:val="001000000000" w:firstRow="0" w:lastRow="0" w:firstColumn="1" w:lastColumn="0" w:oddVBand="0" w:evenVBand="0" w:oddHBand="0" w:evenHBand="0" w:firstRowFirstColumn="0" w:firstRowLastColumn="0" w:lastRowFirstColumn="0" w:lastRowLastColumn="0"/>
            <w:tcW w:w="0" w:type="auto"/>
            <w:hideMark/>
          </w:tcPr>
          <w:p w:rsidR="00F02B89" w:rsidRPr="00F02B89" w:rsidRDefault="00F02B89" w:rsidP="00F02B89">
            <w:pPr>
              <w:rPr>
                <w:rFonts w:eastAsia="Times New Roman" w:cstheme="minorHAnsi"/>
                <w:sz w:val="20"/>
                <w:szCs w:val="20"/>
              </w:rPr>
            </w:pPr>
            <w:r w:rsidRPr="00F02B89">
              <w:rPr>
                <w:rFonts w:eastAsia="Times New Roman" w:cstheme="minorHAnsi"/>
                <w:sz w:val="20"/>
                <w:szCs w:val="20"/>
              </w:rPr>
              <w:lastRenderedPageBreak/>
              <w:t>PI1M  [108]/ PolyAsking [111]</w:t>
            </w:r>
          </w:p>
        </w:tc>
        <w:tc>
          <w:tcPr>
            <w:tcW w:w="0" w:type="auto"/>
            <w:hideMark/>
          </w:tcPr>
          <w:p w:rsidR="00F02B89" w:rsidRPr="00F02B89" w:rsidRDefault="00F02B89" w:rsidP="00F02B8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Synthetic Corpus</w:t>
            </w:r>
          </w:p>
        </w:tc>
        <w:tc>
          <w:tcPr>
            <w:tcW w:w="0" w:type="auto"/>
            <w:hideMark/>
          </w:tcPr>
          <w:p w:rsidR="00F02B89" w:rsidRPr="00F02B89" w:rsidRDefault="00F02B89" w:rsidP="00F02B8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LLM/Generative Pre-training</w:t>
            </w:r>
          </w:p>
        </w:tc>
        <w:tc>
          <w:tcPr>
            <w:tcW w:w="0" w:type="auto"/>
            <w:hideMark/>
          </w:tcPr>
          <w:p w:rsidR="00F02B89" w:rsidRPr="00F02B89" w:rsidRDefault="00F02B89" w:rsidP="00F02B8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Massive scale (~1M structures); derived from realistic polymer distributions</w:t>
            </w:r>
          </w:p>
        </w:tc>
        <w:tc>
          <w:tcPr>
            <w:tcW w:w="0" w:type="auto"/>
            <w:hideMark/>
          </w:tcPr>
          <w:p w:rsidR="00F02B89" w:rsidRPr="00F02B89" w:rsidRDefault="00F02B89" w:rsidP="00F02B8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'Syntheticity gap'; lacks experimental validation and property labels</w:t>
            </w:r>
          </w:p>
        </w:tc>
      </w:tr>
      <w:tr w:rsidR="00F02B89" w:rsidRPr="00F02B89" w:rsidTr="00F02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02B89" w:rsidRPr="00F02B89" w:rsidRDefault="00F02B89" w:rsidP="00F02B89">
            <w:pPr>
              <w:rPr>
                <w:rFonts w:eastAsia="Times New Roman" w:cstheme="minorHAnsi"/>
                <w:sz w:val="20"/>
                <w:szCs w:val="20"/>
              </w:rPr>
            </w:pPr>
            <w:r w:rsidRPr="00F02B89">
              <w:rPr>
                <w:rFonts w:eastAsia="Times New Roman" w:cstheme="minorHAnsi"/>
                <w:sz w:val="20"/>
                <w:szCs w:val="20"/>
              </w:rPr>
              <w:t>SCFT / MD Datasets</w:t>
            </w:r>
          </w:p>
        </w:tc>
        <w:tc>
          <w:tcPr>
            <w:tcW w:w="0" w:type="auto"/>
            <w:hideMark/>
          </w:tcPr>
          <w:p w:rsidR="00F02B89" w:rsidRPr="00F02B89" w:rsidRDefault="00F02B89" w:rsidP="00F02B8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Simulation Output</w:t>
            </w:r>
          </w:p>
        </w:tc>
        <w:tc>
          <w:tcPr>
            <w:tcW w:w="0" w:type="auto"/>
            <w:hideMark/>
          </w:tcPr>
          <w:p w:rsidR="00F02B89" w:rsidRPr="00F02B89" w:rsidRDefault="00F02B89" w:rsidP="00F02B8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Physics-Informed Learning</w:t>
            </w:r>
          </w:p>
        </w:tc>
        <w:tc>
          <w:tcPr>
            <w:tcW w:w="0" w:type="auto"/>
            <w:hideMark/>
          </w:tcPr>
          <w:p w:rsidR="00F02B89" w:rsidRPr="00F02B89" w:rsidRDefault="00F02B89" w:rsidP="00F02B8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High-resolution, noise-free, and physically consistent data</w:t>
            </w:r>
          </w:p>
        </w:tc>
        <w:tc>
          <w:tcPr>
            <w:tcW w:w="0" w:type="auto"/>
            <w:hideMark/>
          </w:tcPr>
          <w:p w:rsidR="00F02B89" w:rsidRPr="00F02B89" w:rsidRDefault="00F02B89" w:rsidP="00F02B8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"Reality gap"; high computational cost to generate.</w:t>
            </w:r>
          </w:p>
        </w:tc>
      </w:tr>
      <w:tr w:rsidR="00F02B89" w:rsidRPr="00F02B89" w:rsidTr="00F02B89">
        <w:tc>
          <w:tcPr>
            <w:cnfStyle w:val="001000000000" w:firstRow="0" w:lastRow="0" w:firstColumn="1" w:lastColumn="0" w:oddVBand="0" w:evenVBand="0" w:oddHBand="0" w:evenHBand="0" w:firstRowFirstColumn="0" w:firstRowLastColumn="0" w:lastRowFirstColumn="0" w:lastRowLastColumn="0"/>
            <w:tcW w:w="0" w:type="auto"/>
            <w:hideMark/>
          </w:tcPr>
          <w:p w:rsidR="00F02B89" w:rsidRPr="00F02B89" w:rsidRDefault="00F02B89" w:rsidP="00F02B89">
            <w:pPr>
              <w:rPr>
                <w:rFonts w:eastAsia="Times New Roman" w:cstheme="minorHAnsi"/>
                <w:sz w:val="20"/>
                <w:szCs w:val="20"/>
              </w:rPr>
            </w:pPr>
            <w:r w:rsidRPr="00F02B89">
              <w:rPr>
                <w:rFonts w:eastAsia="Times New Roman" w:cstheme="minorHAnsi"/>
                <w:sz w:val="20"/>
                <w:szCs w:val="20"/>
              </w:rPr>
              <w:t>POINT² [110]</w:t>
            </w:r>
          </w:p>
        </w:tc>
        <w:tc>
          <w:tcPr>
            <w:tcW w:w="0" w:type="auto"/>
            <w:hideMark/>
          </w:tcPr>
          <w:p w:rsidR="00F02B89" w:rsidRPr="00F02B89" w:rsidRDefault="00F02B89" w:rsidP="00F02B8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Benchmark Suite</w:t>
            </w:r>
          </w:p>
        </w:tc>
        <w:tc>
          <w:tcPr>
            <w:tcW w:w="0" w:type="auto"/>
            <w:hideMark/>
          </w:tcPr>
          <w:p w:rsidR="00F02B89" w:rsidRPr="00F02B89" w:rsidRDefault="00F02B89" w:rsidP="00F02B8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Standardized Evaluation</w:t>
            </w:r>
          </w:p>
        </w:tc>
        <w:tc>
          <w:tcPr>
            <w:tcW w:w="0" w:type="auto"/>
            <w:hideMark/>
          </w:tcPr>
          <w:p w:rsidR="00F02B89" w:rsidRPr="00F02B89" w:rsidRDefault="00F02B89" w:rsidP="00F02B8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Native scaffold splits; reproducible protocols; uncertainty quantification and interpretability built-in</w:t>
            </w:r>
          </w:p>
        </w:tc>
        <w:tc>
          <w:tcPr>
            <w:tcW w:w="0" w:type="auto"/>
            <w:hideMark/>
          </w:tcPr>
          <w:p w:rsidR="00F02B89" w:rsidRPr="00F02B89" w:rsidRDefault="00F02B89" w:rsidP="00F02B8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Property coverage still expanding; limited to PI1M-derived polymers</w:t>
            </w:r>
          </w:p>
        </w:tc>
      </w:tr>
      <w:tr w:rsidR="00F02B89" w:rsidRPr="00F02B89" w:rsidTr="00F02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F02B89" w:rsidRPr="00F02B89" w:rsidRDefault="00F02B89" w:rsidP="00F02B89">
            <w:pPr>
              <w:rPr>
                <w:rFonts w:eastAsia="Times New Roman" w:cstheme="minorHAnsi"/>
                <w:sz w:val="20"/>
                <w:szCs w:val="20"/>
              </w:rPr>
            </w:pPr>
            <w:r w:rsidRPr="00F02B89">
              <w:rPr>
                <w:rFonts w:eastAsia="Times New Roman" w:cstheme="minorHAnsi"/>
                <w:sz w:val="20"/>
                <w:szCs w:val="20"/>
              </w:rPr>
              <w:t>PolymerGym [115]</w:t>
            </w:r>
          </w:p>
        </w:tc>
        <w:tc>
          <w:tcPr>
            <w:tcW w:w="0" w:type="auto"/>
            <w:hideMark/>
          </w:tcPr>
          <w:p w:rsidR="00F02B89" w:rsidRPr="00F02B89" w:rsidRDefault="00F02B89" w:rsidP="00F02B8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Reinforcement Learning Benchmark</w:t>
            </w:r>
          </w:p>
        </w:tc>
        <w:tc>
          <w:tcPr>
            <w:tcW w:w="0" w:type="auto"/>
            <w:hideMark/>
          </w:tcPr>
          <w:p w:rsidR="00F02B89" w:rsidRPr="00F02B89" w:rsidRDefault="00F02B89" w:rsidP="00F02B8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Inverse Design</w:t>
            </w:r>
          </w:p>
        </w:tc>
        <w:tc>
          <w:tcPr>
            <w:tcW w:w="0" w:type="auto"/>
            <w:hideMark/>
          </w:tcPr>
          <w:p w:rsidR="00F02B89" w:rsidRPr="00F02B89" w:rsidRDefault="00F02B89" w:rsidP="00F02B8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Formalized Reinforcement Learning tasks for polymer generation and optimization</w:t>
            </w:r>
          </w:p>
        </w:tc>
        <w:tc>
          <w:tcPr>
            <w:tcW w:w="0" w:type="auto"/>
            <w:hideMark/>
          </w:tcPr>
          <w:p w:rsidR="00F02B89" w:rsidRPr="00F02B89" w:rsidRDefault="00F02B89" w:rsidP="00F02B8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F02B89">
              <w:rPr>
                <w:rFonts w:eastAsia="Times New Roman" w:cstheme="minorHAnsi"/>
                <w:sz w:val="20"/>
                <w:szCs w:val="20"/>
              </w:rPr>
              <w:t>Requires coupling with external property predictors; limited to specific task formulations.</w:t>
            </w:r>
          </w:p>
        </w:tc>
      </w:tr>
    </w:tbl>
    <w:p w:rsidR="00F02B89" w:rsidRPr="006C7800" w:rsidRDefault="00C717C2" w:rsidP="004D0E2F">
      <w:pPr>
        <w:spacing w:after="0" w:line="360" w:lineRule="auto"/>
        <w:jc w:val="both"/>
        <w:rPr>
          <w:rFonts w:cstheme="minorHAnsi"/>
          <w:sz w:val="20"/>
          <w:szCs w:val="20"/>
        </w:rPr>
      </w:pPr>
      <w:r w:rsidRPr="00DE4DC4">
        <w:rPr>
          <w:rFonts w:asciiTheme="majorBidi" w:hAnsiTheme="majorBidi" w:cstheme="majorBidi"/>
          <w:b/>
          <w:bCs/>
          <w:noProof/>
        </w:rPr>
        <mc:AlternateContent>
          <mc:Choice Requires="wps">
            <w:drawing>
              <wp:anchor distT="0" distB="0" distL="114300" distR="114300" simplePos="0" relativeHeight="251685888" behindDoc="0" locked="0" layoutInCell="1" allowOverlap="1" wp14:anchorId="29871804" wp14:editId="3EB11DFE">
                <wp:simplePos x="0" y="0"/>
                <wp:positionH relativeFrom="margin">
                  <wp:align>left</wp:align>
                </wp:positionH>
                <wp:positionV relativeFrom="paragraph">
                  <wp:posOffset>13335</wp:posOffset>
                </wp:positionV>
                <wp:extent cx="6372225" cy="457200"/>
                <wp:effectExtent l="0" t="0" r="9525" b="0"/>
                <wp:wrapNone/>
                <wp:docPr id="38" name="Text Box 38"/>
                <wp:cNvGraphicFramePr/>
                <a:graphic xmlns:a="http://schemas.openxmlformats.org/drawingml/2006/main">
                  <a:graphicData uri="http://schemas.microsoft.com/office/word/2010/wordprocessingShape">
                    <wps:wsp>
                      <wps:cNvSpPr txBox="1"/>
                      <wps:spPr>
                        <a:xfrm>
                          <a:off x="0" y="0"/>
                          <a:ext cx="6372225" cy="457200"/>
                        </a:xfrm>
                        <a:prstGeom prst="rect">
                          <a:avLst/>
                        </a:prstGeom>
                        <a:solidFill>
                          <a:schemeClr val="lt1"/>
                        </a:solidFill>
                        <a:ln w="6350">
                          <a:noFill/>
                        </a:ln>
                      </wps:spPr>
                      <wps:txbx>
                        <w:txbxContent>
                          <w:p w:rsidR="005562ED" w:rsidRPr="00C717C2" w:rsidRDefault="005562ED" w:rsidP="00C717C2">
                            <w:pPr>
                              <w:rPr>
                                <w:rFonts w:cstheme="minorHAnsi"/>
                                <w:sz w:val="18"/>
                                <w:szCs w:val="18"/>
                              </w:rPr>
                            </w:pPr>
                            <w:r w:rsidRPr="00C717C2">
                              <w:rPr>
                                <w:rStyle w:val="Strong"/>
                                <w:rFonts w:cstheme="minorHAnsi"/>
                                <w:sz w:val="18"/>
                                <w:szCs w:val="18"/>
                              </w:rPr>
                              <w:t>Table 9:</w:t>
                            </w:r>
                            <w:r w:rsidRPr="00C717C2">
                              <w:rPr>
                                <w:rStyle w:val="Strong"/>
                                <w:rFonts w:cstheme="minorHAnsi"/>
                                <w:b w:val="0"/>
                                <w:bCs w:val="0"/>
                                <w:sz w:val="18"/>
                                <w:szCs w:val="18"/>
                              </w:rPr>
                              <w:t xml:space="preserve"> Curated Benchmarking Resources for Polymer Informatics. A strategic overview of experimental, synthetic, and simulation-derived datasets categorized by informatics utility and computational trade-offs.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71804" id="Text Box 38" o:spid="_x0000_s1038" type="#_x0000_t202" style="position:absolute;left:0;text-align:left;margin-left:0;margin-top:1.05pt;width:501.75pt;height:36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PFLQwIAAIMEAAAOAAAAZHJzL2Uyb0RvYy54bWysVE1v2zAMvQ/YfxB0X524nzPiFFmLDgOC&#10;tkA69KzIcmxAFjVJiZ39+j3JSdt1Ow27yBJJPZHvkZ5dD51mO+V8S6bk05MJZ8pIqlqzKfn3p7tP&#10;V5z5IEwlNBlV8r3y/Hr+8cOst4XKqSFdKccAYnzR25I3Idgiy7xsVCf8CVll4KzJdSLg6DZZ5UQP&#10;9E5n+WRykfXkKutIKu9hvR2dfJ7w61rJ8FDXXgWmS47cQlpdWtdxzeYzUWycsE0rD2mIf8iiE63B&#10;oy9QtyIItnXtH1BdKx15qsOJpC6jum6lSjWgmunkXTWrRliVagE53r7Q5P8frLzfPTrWViU/hVJG&#10;dNDoSQ2BfaGBwQR+eusLhK0sAsMAO3Q+2j2Mseyhdl38oiAGP5jev7Ab0SSMF6eXeZ6fcybhOzu/&#10;hHwRJnu9bZ0PXxV1LG5K7qBeIlXslj6MoceQ+Jgn3VZ3rdbpEDtG3WjHdgJa65ByBPhvUdqwPmZy&#10;PknAhuL1EVkb5BJrHWuKuzCsh8TNND8WvKZqDx4cjZ3krbxrkexS+PAoHFoHpWMcwgOWWhMeo8OO&#10;s4bcz7/ZYzwUhZezHq1Ycv9jK5ziTH8z0Prz9Ows9m46JOI4c28967ces+1uCAxMMXhWpi0uu6CP&#10;29pR94ypWcRX4RJG4u2Sh+P2JowDgqmTarFIQehWK8LSrKyM0JHxKMXT8CycPegVoPQ9HZtWFO9k&#10;G2PjTUOLbaC6TZpGokdWD/yj01NXHKYyjtLbc4p6/XfMfwEAAP//AwBQSwMEFAAGAAgAAAAhAGtQ&#10;QRveAAAABgEAAA8AAABkcnMvZG93bnJldi54bWxMj0tPwzAQhO9I/AdrkbggaqehFIVsKoR4SL3R&#10;8BA3N16SiHgdxW4S/j3uCY6jGc18k29m24mRBt86RkgWCgRx5UzLNcJr+Xh5A8IHzUZ3jgnhhzxs&#10;itOTXGfGTfxC4y7UIpawzzRCE0KfSemrhqz2C9cTR+/LDVaHKIdamkFPsdx2cqnUtbS65bjQ6J7u&#10;G6q+dweL8HlRf2z9/PQ2pau0f3gey/W7KRHPz+a7WxCB5vAXhiN+RIciMu3dgY0XHUI8EhCWCYij&#10;qVS6ArFHWF8lIItc/scvfgEAAP//AwBQSwECLQAUAAYACAAAACEAtoM4kv4AAADhAQAAEwAAAAAA&#10;AAAAAAAAAAAAAAAAW0NvbnRlbnRfVHlwZXNdLnhtbFBLAQItABQABgAIAAAAIQA4/SH/1gAAAJQB&#10;AAALAAAAAAAAAAAAAAAAAC8BAABfcmVscy8ucmVsc1BLAQItABQABgAIAAAAIQB4PPFLQwIAAIME&#10;AAAOAAAAAAAAAAAAAAAAAC4CAABkcnMvZTJvRG9jLnhtbFBLAQItABQABgAIAAAAIQBrUEEb3gAA&#10;AAYBAAAPAAAAAAAAAAAAAAAAAJ0EAABkcnMvZG93bnJldi54bWxQSwUGAAAAAAQABADzAAAAqAUA&#10;AAAA&#10;" fillcolor="white [3201]" stroked="f" strokeweight=".5pt">
                <v:textbox>
                  <w:txbxContent>
                    <w:p w:rsidR="005562ED" w:rsidRPr="00C717C2" w:rsidRDefault="005562ED" w:rsidP="00C717C2">
                      <w:pPr>
                        <w:rPr>
                          <w:rFonts w:cstheme="minorHAnsi"/>
                          <w:sz w:val="18"/>
                          <w:szCs w:val="18"/>
                        </w:rPr>
                      </w:pPr>
                      <w:r w:rsidRPr="00C717C2">
                        <w:rPr>
                          <w:rStyle w:val="Strong"/>
                          <w:rFonts w:cstheme="minorHAnsi"/>
                          <w:sz w:val="18"/>
                          <w:szCs w:val="18"/>
                        </w:rPr>
                        <w:t>Table 9:</w:t>
                      </w:r>
                      <w:r w:rsidRPr="00C717C2">
                        <w:rPr>
                          <w:rStyle w:val="Strong"/>
                          <w:rFonts w:cstheme="minorHAnsi"/>
                          <w:b w:val="0"/>
                          <w:bCs w:val="0"/>
                          <w:sz w:val="18"/>
                          <w:szCs w:val="18"/>
                        </w:rPr>
                        <w:t xml:space="preserve"> Curated Benchmarking Resources for Polymer Informatics. A strategic overview of experimental, synthetic, and simulation-derived datasets categorized by informatics utility and computational trade-offs.</w:t>
                      </w:r>
                    </w:p>
                  </w:txbxContent>
                </v:textbox>
                <w10:wrap anchorx="margin"/>
              </v:shape>
            </w:pict>
          </mc:Fallback>
        </mc:AlternateContent>
      </w:r>
    </w:p>
    <w:p w:rsidR="00F02B89" w:rsidRDefault="00F02B89" w:rsidP="004D0E2F">
      <w:pPr>
        <w:spacing w:after="0" w:line="360" w:lineRule="auto"/>
        <w:jc w:val="both"/>
        <w:rPr>
          <w:rFonts w:cstheme="minorHAnsi"/>
          <w:b/>
          <w:bCs/>
          <w:sz w:val="20"/>
          <w:szCs w:val="20"/>
        </w:rPr>
      </w:pPr>
    </w:p>
    <w:p w:rsidR="00C57922" w:rsidRPr="006F2DD6" w:rsidRDefault="00C57922" w:rsidP="00C717C2">
      <w:pPr>
        <w:spacing w:before="240" w:after="0" w:line="360" w:lineRule="auto"/>
        <w:jc w:val="both"/>
        <w:rPr>
          <w:rFonts w:cstheme="minorHAnsi"/>
          <w:b/>
          <w:bCs/>
          <w:sz w:val="20"/>
          <w:szCs w:val="20"/>
        </w:rPr>
      </w:pPr>
      <w:r w:rsidRPr="006F2DD6">
        <w:rPr>
          <w:rFonts w:cstheme="minorHAnsi"/>
          <w:b/>
          <w:bCs/>
          <w:sz w:val="20"/>
          <w:szCs w:val="20"/>
        </w:rPr>
        <w:t>Practical Guidance for Researchers:</w:t>
      </w:r>
    </w:p>
    <w:p w:rsidR="00C57922" w:rsidRPr="006C7800" w:rsidRDefault="00C57922" w:rsidP="004D0E2F">
      <w:pPr>
        <w:numPr>
          <w:ilvl w:val="0"/>
          <w:numId w:val="31"/>
        </w:numPr>
        <w:spacing w:after="0" w:line="360" w:lineRule="auto"/>
        <w:jc w:val="both"/>
        <w:rPr>
          <w:rFonts w:cstheme="minorHAnsi"/>
          <w:sz w:val="20"/>
          <w:szCs w:val="20"/>
        </w:rPr>
      </w:pPr>
      <w:r w:rsidRPr="006C7800">
        <w:rPr>
          <w:rFonts w:cstheme="minorHAnsi"/>
          <w:sz w:val="20"/>
          <w:szCs w:val="20"/>
        </w:rPr>
        <w:t>Predictive Modeling: Standardized evaluation should prioritize POINT² or curated, cleaned PolyInfo subsets.</w:t>
      </w:r>
    </w:p>
    <w:p w:rsidR="00C57922" w:rsidRPr="006C7800" w:rsidRDefault="00C57922" w:rsidP="004D0E2F">
      <w:pPr>
        <w:numPr>
          <w:ilvl w:val="0"/>
          <w:numId w:val="31"/>
        </w:numPr>
        <w:spacing w:after="0" w:line="360" w:lineRule="auto"/>
        <w:jc w:val="both"/>
        <w:rPr>
          <w:rFonts w:cstheme="minorHAnsi"/>
          <w:sz w:val="20"/>
          <w:szCs w:val="20"/>
        </w:rPr>
      </w:pPr>
      <w:r w:rsidRPr="006C7800">
        <w:rPr>
          <w:rFonts w:cstheme="minorHAnsi"/>
          <w:sz w:val="20"/>
          <w:szCs w:val="20"/>
        </w:rPr>
        <w:t>Generative Modeling: PI1M is the current gold standard for training polymer-specific Transformers and Diffusion models.</w:t>
      </w:r>
    </w:p>
    <w:p w:rsidR="00C57922" w:rsidRPr="006C7800" w:rsidRDefault="00C57922" w:rsidP="004D0E2F">
      <w:pPr>
        <w:numPr>
          <w:ilvl w:val="0"/>
          <w:numId w:val="31"/>
        </w:numPr>
        <w:spacing w:after="0" w:line="360" w:lineRule="auto"/>
        <w:jc w:val="both"/>
        <w:rPr>
          <w:rFonts w:cstheme="minorHAnsi"/>
          <w:sz w:val="20"/>
          <w:szCs w:val="20"/>
        </w:rPr>
      </w:pPr>
      <w:r w:rsidRPr="006C7800">
        <w:rPr>
          <w:rFonts w:cstheme="minorHAnsi"/>
          <w:sz w:val="20"/>
          <w:szCs w:val="20"/>
        </w:rPr>
        <w:t>Physics-Informed Learning [126]: Simulation-derived datasets are optimal for training surrogate models requiring morphological resolution.</w:t>
      </w:r>
    </w:p>
    <w:p w:rsidR="00C57922" w:rsidRPr="006F2DD6" w:rsidRDefault="00C57922" w:rsidP="006F2DD6">
      <w:pPr>
        <w:numPr>
          <w:ilvl w:val="0"/>
          <w:numId w:val="31"/>
        </w:numPr>
        <w:spacing w:before="240" w:after="0" w:line="360" w:lineRule="auto"/>
        <w:jc w:val="both"/>
        <w:rPr>
          <w:rFonts w:cstheme="minorHAnsi"/>
          <w:b/>
          <w:bCs/>
        </w:rPr>
      </w:pPr>
      <w:r w:rsidRPr="006C7800">
        <w:rPr>
          <w:rFonts w:cstheme="minorHAnsi"/>
          <w:sz w:val="20"/>
          <w:szCs w:val="20"/>
        </w:rPr>
        <w:t xml:space="preserve">The Multimodal Need: A critical unmet need remains a unified multimodal benchmark integrating chemistry, processing history, morphology, and property outcomes within a single, machine-readable </w:t>
      </w:r>
      <w:r w:rsidRPr="006F2DD6">
        <w:rPr>
          <w:rFonts w:cstheme="minorHAnsi"/>
          <w:b/>
          <w:bCs/>
        </w:rPr>
        <w:t>framework.</w:t>
      </w:r>
    </w:p>
    <w:p w:rsidR="00C57922" w:rsidRPr="006F2DD6" w:rsidRDefault="00C57922" w:rsidP="006F2DD6">
      <w:pPr>
        <w:spacing w:before="240" w:after="0" w:line="360" w:lineRule="auto"/>
        <w:jc w:val="both"/>
        <w:rPr>
          <w:rFonts w:cstheme="minorHAnsi"/>
          <w:b/>
          <w:bCs/>
        </w:rPr>
      </w:pPr>
      <w:r w:rsidRPr="006F2DD6">
        <w:rPr>
          <w:rFonts w:cstheme="minorHAnsi"/>
          <w:b/>
          <w:bCs/>
        </w:rPr>
        <w:t>4.5 Performance Benchmarks: Representative Results (Tg)</w:t>
      </w:r>
    </w:p>
    <w:p w:rsidR="00C57922" w:rsidRDefault="00C57922" w:rsidP="006F2DD6">
      <w:pPr>
        <w:spacing w:after="0" w:line="360" w:lineRule="auto"/>
        <w:jc w:val="both"/>
        <w:rPr>
          <w:rFonts w:cstheme="minorHAnsi"/>
          <w:sz w:val="20"/>
          <w:szCs w:val="20"/>
        </w:rPr>
      </w:pPr>
      <w:r w:rsidRPr="006C7800">
        <w:rPr>
          <w:rFonts w:cstheme="minorHAnsi"/>
          <w:sz w:val="20"/>
          <w:szCs w:val="20"/>
        </w:rPr>
        <w:t>To ground evaluation principles, specifically splitting strategy impact and data scale, we summarize representative results for glass transition temperature (</w:t>
      </w:r>
      <w:r w:rsidRPr="006C7800">
        <w:rPr>
          <w:rFonts w:cstheme="minorHAnsi"/>
          <w:i/>
          <w:iCs/>
          <w:sz w:val="20"/>
          <w:szCs w:val="20"/>
        </w:rPr>
        <w:t>Tg</w:t>
      </w:r>
      <w:r w:rsidRPr="006C7800">
        <w:rPr>
          <w:rFonts w:cstheme="minorHAnsi"/>
          <w:sz w:val="20"/>
          <w:szCs w:val="20"/>
        </w:rPr>
        <w:t xml:space="preserve">​) prediction [164] (see Table 10). </w:t>
      </w:r>
      <w:r w:rsidRPr="006C7800">
        <w:rPr>
          <w:rFonts w:cstheme="minorHAnsi"/>
          <w:i/>
          <w:iCs/>
          <w:sz w:val="20"/>
          <w:szCs w:val="20"/>
        </w:rPr>
        <w:t>Tg</w:t>
      </w:r>
      <w:r w:rsidRPr="006C7800">
        <w:rPr>
          <w:rFonts w:cstheme="minorHAnsi"/>
          <w:sz w:val="20"/>
          <w:szCs w:val="20"/>
        </w:rPr>
        <w:t>​</w:t>
      </w:r>
      <w:r w:rsidR="006F2DD6">
        <w:rPr>
          <w:rFonts w:cstheme="minorHAnsi"/>
          <w:sz w:val="20"/>
          <w:szCs w:val="20"/>
        </w:rPr>
        <w:t xml:space="preserve"> </w:t>
      </w:r>
      <w:r w:rsidRPr="006C7800">
        <w:rPr>
          <w:rFonts w:cstheme="minorHAnsi"/>
          <w:sz w:val="20"/>
          <w:szCs w:val="20"/>
        </w:rPr>
        <w:t>is an ideal benchmark: (i) extensively reported in PolyInfo, (ii) highly sensitive to chemistry, topology, and processing history, and (iii) a critical indicator of generalization ability across diverse families.</w:t>
      </w:r>
    </w:p>
    <w:tbl>
      <w:tblPr>
        <w:tblStyle w:val="PlainTable1"/>
        <w:tblW w:w="100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34"/>
        <w:gridCol w:w="2061"/>
        <w:gridCol w:w="1222"/>
        <w:gridCol w:w="1089"/>
        <w:gridCol w:w="1375"/>
        <w:gridCol w:w="868"/>
        <w:gridCol w:w="720"/>
        <w:gridCol w:w="598"/>
        <w:gridCol w:w="1029"/>
      </w:tblGrid>
      <w:tr w:rsidR="00C717C2" w:rsidRPr="00C717C2" w:rsidTr="005562ED">
        <w:trPr>
          <w:cnfStyle w:val="100000000000" w:firstRow="1" w:lastRow="0" w:firstColumn="0" w:lastColumn="0" w:oddVBand="0" w:evenVBand="0" w:oddHBand="0"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0" w:type="auto"/>
            <w:hideMark/>
          </w:tcPr>
          <w:p w:rsidR="00C717C2" w:rsidRPr="00C717C2" w:rsidRDefault="00C717C2" w:rsidP="00C717C2">
            <w:pPr>
              <w:spacing w:line="276" w:lineRule="auto"/>
              <w:jc w:val="center"/>
              <w:rPr>
                <w:rFonts w:eastAsia="Times New Roman" w:cstheme="minorHAnsi"/>
                <w:sz w:val="20"/>
                <w:szCs w:val="20"/>
              </w:rPr>
            </w:pPr>
            <w:r w:rsidRPr="00C717C2">
              <w:rPr>
                <w:rFonts w:eastAsia="Times New Roman" w:cstheme="minorHAnsi"/>
                <w:sz w:val="20"/>
                <w:szCs w:val="20"/>
              </w:rPr>
              <w:t>Study</w:t>
            </w:r>
          </w:p>
        </w:tc>
        <w:tc>
          <w:tcPr>
            <w:tcW w:w="2061" w:type="dxa"/>
            <w:hideMark/>
          </w:tcPr>
          <w:p w:rsidR="00C717C2" w:rsidRPr="00C717C2" w:rsidRDefault="00C717C2" w:rsidP="00C717C2">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Method</w:t>
            </w:r>
          </w:p>
        </w:tc>
        <w:tc>
          <w:tcPr>
            <w:tcW w:w="1222" w:type="dxa"/>
            <w:hideMark/>
          </w:tcPr>
          <w:p w:rsidR="00C717C2" w:rsidRPr="00C717C2" w:rsidRDefault="00C717C2" w:rsidP="00C717C2">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Dataset</w:t>
            </w:r>
          </w:p>
        </w:tc>
        <w:tc>
          <w:tcPr>
            <w:tcW w:w="1089" w:type="dxa"/>
            <w:hideMark/>
          </w:tcPr>
          <w:p w:rsidR="00C717C2" w:rsidRPr="00C717C2" w:rsidRDefault="00C717C2" w:rsidP="00C717C2">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Split</w:t>
            </w:r>
          </w:p>
        </w:tc>
        <w:tc>
          <w:tcPr>
            <w:tcW w:w="1375" w:type="dxa"/>
            <w:hideMark/>
          </w:tcPr>
          <w:p w:rsidR="00C717C2" w:rsidRPr="00C717C2" w:rsidRDefault="00C717C2" w:rsidP="00C717C2">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MAE (°C)</w:t>
            </w:r>
          </w:p>
        </w:tc>
        <w:tc>
          <w:tcPr>
            <w:tcW w:w="868" w:type="dxa"/>
            <w:hideMark/>
          </w:tcPr>
          <w:p w:rsidR="00C717C2" w:rsidRPr="00C717C2" w:rsidRDefault="00C717C2" w:rsidP="00C717C2">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ΔMAE</w:t>
            </w:r>
          </w:p>
        </w:tc>
        <w:tc>
          <w:tcPr>
            <w:tcW w:w="720" w:type="dxa"/>
            <w:hideMark/>
          </w:tcPr>
          <w:p w:rsidR="00C717C2" w:rsidRPr="00C717C2" w:rsidRDefault="00C717C2" w:rsidP="00C717C2">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R²</w:t>
            </w:r>
          </w:p>
        </w:tc>
        <w:tc>
          <w:tcPr>
            <w:tcW w:w="0" w:type="auto"/>
            <w:hideMark/>
          </w:tcPr>
          <w:p w:rsidR="00C717C2" w:rsidRPr="00C717C2" w:rsidRDefault="00C717C2" w:rsidP="00C717C2">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ΔR²</w:t>
            </w:r>
          </w:p>
        </w:tc>
        <w:tc>
          <w:tcPr>
            <w:tcW w:w="0" w:type="auto"/>
            <w:hideMark/>
          </w:tcPr>
          <w:p w:rsidR="00C717C2" w:rsidRPr="00C717C2" w:rsidRDefault="00C717C2" w:rsidP="00C717C2">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Approx dataset size</w:t>
            </w:r>
          </w:p>
        </w:tc>
      </w:tr>
      <w:tr w:rsidR="00C717C2" w:rsidRPr="00C717C2" w:rsidTr="005562ED">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00C717C2" w:rsidRPr="00C717C2" w:rsidRDefault="00C717C2" w:rsidP="00C717C2">
            <w:pPr>
              <w:spacing w:line="276" w:lineRule="auto"/>
              <w:rPr>
                <w:rFonts w:eastAsia="Times New Roman" w:cstheme="minorHAnsi"/>
                <w:sz w:val="20"/>
                <w:szCs w:val="20"/>
              </w:rPr>
            </w:pPr>
            <w:r w:rsidRPr="00C717C2">
              <w:rPr>
                <w:rFonts w:eastAsia="Times New Roman" w:cstheme="minorHAnsi"/>
                <w:sz w:val="20"/>
                <w:szCs w:val="20"/>
              </w:rPr>
              <w:t>Baseline</w:t>
            </w:r>
          </w:p>
        </w:tc>
        <w:tc>
          <w:tcPr>
            <w:tcW w:w="2061" w:type="dxa"/>
            <w:vMerge w:val="restart"/>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Random Forest</w:t>
            </w:r>
          </w:p>
        </w:tc>
        <w:tc>
          <w:tcPr>
            <w:tcW w:w="1222" w:type="dxa"/>
            <w:vMerge w:val="restart"/>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PolyInfo (Curated)</w:t>
            </w:r>
          </w:p>
        </w:tc>
        <w:tc>
          <w:tcPr>
            <w:tcW w:w="1089" w:type="dxa"/>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Random</w:t>
            </w:r>
          </w:p>
        </w:tc>
        <w:tc>
          <w:tcPr>
            <w:tcW w:w="1375" w:type="dxa"/>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11.2</w:t>
            </w:r>
          </w:p>
        </w:tc>
        <w:tc>
          <w:tcPr>
            <w:tcW w:w="868" w:type="dxa"/>
            <w:vMerge w:val="restart"/>
            <w:hideMark/>
          </w:tcPr>
          <w:p w:rsidR="00C717C2" w:rsidRPr="00C717C2" w:rsidRDefault="00C717C2" w:rsidP="00C717C2">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p>
          <w:p w:rsidR="00C717C2" w:rsidRPr="00C717C2" w:rsidRDefault="00C717C2" w:rsidP="00C717C2">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C717C2">
              <w:rPr>
                <w:rFonts w:eastAsia="Times New Roman" w:cstheme="minorHAnsi"/>
                <w:b/>
                <w:bCs/>
                <w:sz w:val="20"/>
                <w:szCs w:val="20"/>
              </w:rPr>
              <w:t>+6.6</w:t>
            </w:r>
          </w:p>
          <w:p w:rsidR="00C717C2" w:rsidRPr="00C717C2" w:rsidRDefault="00C717C2" w:rsidP="00C717C2">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p>
        </w:tc>
        <w:tc>
          <w:tcPr>
            <w:tcW w:w="720" w:type="dxa"/>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0.84</w:t>
            </w:r>
          </w:p>
        </w:tc>
        <w:tc>
          <w:tcPr>
            <w:tcW w:w="0" w:type="auto"/>
            <w:vMerge w:val="restart"/>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C717C2">
              <w:rPr>
                <w:rFonts w:eastAsia="Times New Roman" w:cstheme="minorHAnsi"/>
                <w:b/>
                <w:bCs/>
                <w:sz w:val="20"/>
                <w:szCs w:val="20"/>
              </w:rPr>
              <w:t xml:space="preserve">  -0.16</w:t>
            </w:r>
          </w:p>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C717C2">
              <w:rPr>
                <w:rFonts w:eastAsia="Times New Roman" w:cstheme="minorHAnsi"/>
                <w:b/>
                <w:bCs/>
                <w:sz w:val="20"/>
                <w:szCs w:val="20"/>
              </w:rPr>
              <w:t xml:space="preserve"> </w:t>
            </w:r>
          </w:p>
        </w:tc>
        <w:tc>
          <w:tcPr>
            <w:tcW w:w="0" w:type="auto"/>
            <w:vMerge w:val="restart"/>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11,762</w:t>
            </w:r>
          </w:p>
        </w:tc>
      </w:tr>
      <w:tr w:rsidR="00C717C2" w:rsidRPr="00C717C2" w:rsidTr="00753CEC">
        <w:trPr>
          <w:trHeight w:val="322"/>
        </w:trPr>
        <w:tc>
          <w:tcPr>
            <w:cnfStyle w:val="001000000000" w:firstRow="0" w:lastRow="0" w:firstColumn="1" w:lastColumn="0" w:oddVBand="0" w:evenVBand="0" w:oddHBand="0" w:evenHBand="0" w:firstRowFirstColumn="0" w:firstRowLastColumn="0" w:lastRowFirstColumn="0" w:lastRowLastColumn="0"/>
            <w:tcW w:w="0" w:type="auto"/>
            <w:vMerge/>
            <w:hideMark/>
          </w:tcPr>
          <w:p w:rsidR="00C717C2" w:rsidRPr="00C717C2" w:rsidRDefault="00C717C2" w:rsidP="00C717C2">
            <w:pPr>
              <w:spacing w:line="276" w:lineRule="auto"/>
              <w:rPr>
                <w:rFonts w:eastAsia="Times New Roman" w:cstheme="minorHAnsi"/>
                <w:sz w:val="20"/>
                <w:szCs w:val="20"/>
              </w:rPr>
            </w:pPr>
          </w:p>
        </w:tc>
        <w:tc>
          <w:tcPr>
            <w:tcW w:w="2061" w:type="dxa"/>
            <w:vMerge/>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222" w:type="dxa"/>
            <w:vMerge/>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089" w:type="dxa"/>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Scaffold</w:t>
            </w:r>
          </w:p>
        </w:tc>
        <w:tc>
          <w:tcPr>
            <w:tcW w:w="1375" w:type="dxa"/>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17.8</w:t>
            </w:r>
          </w:p>
        </w:tc>
        <w:tc>
          <w:tcPr>
            <w:tcW w:w="868" w:type="dxa"/>
            <w:vMerge/>
            <w:hideMark/>
          </w:tcPr>
          <w:p w:rsidR="00C717C2" w:rsidRPr="00C717C2" w:rsidRDefault="00C717C2" w:rsidP="00C717C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p>
        </w:tc>
        <w:tc>
          <w:tcPr>
            <w:tcW w:w="720" w:type="dxa"/>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0.68</w:t>
            </w:r>
          </w:p>
        </w:tc>
        <w:tc>
          <w:tcPr>
            <w:tcW w:w="0" w:type="auto"/>
            <w:vMerge/>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p>
        </w:tc>
        <w:tc>
          <w:tcPr>
            <w:tcW w:w="0" w:type="auto"/>
            <w:vMerge/>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r>
      <w:tr w:rsidR="00C717C2" w:rsidRPr="00C717C2" w:rsidTr="005562ED">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00C717C2" w:rsidRPr="00C717C2" w:rsidRDefault="00C717C2" w:rsidP="00C717C2">
            <w:pPr>
              <w:spacing w:line="276" w:lineRule="auto"/>
              <w:rPr>
                <w:rFonts w:eastAsia="Times New Roman" w:cstheme="minorHAnsi"/>
                <w:sz w:val="20"/>
                <w:szCs w:val="20"/>
              </w:rPr>
            </w:pPr>
            <w:r w:rsidRPr="00C717C2">
              <w:rPr>
                <w:rFonts w:eastAsia="Times New Roman" w:cstheme="minorHAnsi"/>
                <w:sz w:val="20"/>
                <w:szCs w:val="20"/>
              </w:rPr>
              <w:t>Queen et al. (2023) [116]</w:t>
            </w:r>
          </w:p>
        </w:tc>
        <w:tc>
          <w:tcPr>
            <w:tcW w:w="2061" w:type="dxa"/>
            <w:vMerge w:val="restart"/>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PolymerGNN</w:t>
            </w:r>
          </w:p>
        </w:tc>
        <w:tc>
          <w:tcPr>
            <w:tcW w:w="1222" w:type="dxa"/>
            <w:vMerge w:val="restart"/>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PolyInfo (Curated)</w:t>
            </w:r>
          </w:p>
        </w:tc>
        <w:tc>
          <w:tcPr>
            <w:tcW w:w="1089" w:type="dxa"/>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Random</w:t>
            </w:r>
          </w:p>
        </w:tc>
        <w:tc>
          <w:tcPr>
            <w:tcW w:w="1375" w:type="dxa"/>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8.5</w:t>
            </w:r>
          </w:p>
        </w:tc>
        <w:tc>
          <w:tcPr>
            <w:tcW w:w="868" w:type="dxa"/>
            <w:vMerge w:val="restart"/>
            <w:hideMark/>
          </w:tcPr>
          <w:p w:rsidR="00C717C2" w:rsidRPr="00C717C2" w:rsidRDefault="00C717C2" w:rsidP="00C717C2">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p>
          <w:p w:rsidR="00C717C2" w:rsidRPr="00C717C2" w:rsidRDefault="00C717C2" w:rsidP="00C717C2">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C717C2">
              <w:rPr>
                <w:rFonts w:eastAsia="Times New Roman" w:cstheme="minorHAnsi"/>
                <w:b/>
                <w:bCs/>
                <w:sz w:val="20"/>
                <w:szCs w:val="20"/>
              </w:rPr>
              <w:lastRenderedPageBreak/>
              <w:t>+5.4</w:t>
            </w:r>
          </w:p>
          <w:p w:rsidR="00C717C2" w:rsidRPr="00C717C2" w:rsidRDefault="00C717C2" w:rsidP="00C717C2">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p>
        </w:tc>
        <w:tc>
          <w:tcPr>
            <w:tcW w:w="720" w:type="dxa"/>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lastRenderedPageBreak/>
              <w:t>0.93</w:t>
            </w:r>
          </w:p>
        </w:tc>
        <w:tc>
          <w:tcPr>
            <w:tcW w:w="0" w:type="auto"/>
            <w:vMerge w:val="restart"/>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C717C2">
              <w:rPr>
                <w:rFonts w:eastAsia="Times New Roman" w:cstheme="minorHAnsi"/>
                <w:b/>
                <w:bCs/>
                <w:sz w:val="20"/>
                <w:szCs w:val="20"/>
              </w:rPr>
              <w:t xml:space="preserve"> 0.11</w:t>
            </w:r>
          </w:p>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C717C2">
              <w:rPr>
                <w:rFonts w:eastAsia="Times New Roman" w:cstheme="minorHAnsi"/>
                <w:b/>
                <w:bCs/>
                <w:sz w:val="20"/>
                <w:szCs w:val="20"/>
              </w:rPr>
              <w:t xml:space="preserve"> </w:t>
            </w:r>
          </w:p>
        </w:tc>
        <w:tc>
          <w:tcPr>
            <w:tcW w:w="0" w:type="auto"/>
            <w:vMerge w:val="restart"/>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lastRenderedPageBreak/>
              <w:t>11,762</w:t>
            </w:r>
          </w:p>
        </w:tc>
      </w:tr>
      <w:tr w:rsidR="00C717C2" w:rsidRPr="00C717C2" w:rsidTr="005562ED">
        <w:trPr>
          <w:trHeight w:val="374"/>
        </w:trPr>
        <w:tc>
          <w:tcPr>
            <w:cnfStyle w:val="001000000000" w:firstRow="0" w:lastRow="0" w:firstColumn="1" w:lastColumn="0" w:oddVBand="0" w:evenVBand="0" w:oddHBand="0" w:evenHBand="0" w:firstRowFirstColumn="0" w:firstRowLastColumn="0" w:lastRowFirstColumn="0" w:lastRowLastColumn="0"/>
            <w:tcW w:w="0" w:type="auto"/>
            <w:vMerge/>
            <w:hideMark/>
          </w:tcPr>
          <w:p w:rsidR="00C717C2" w:rsidRPr="00C717C2" w:rsidRDefault="00C717C2" w:rsidP="00C717C2">
            <w:pPr>
              <w:spacing w:line="276" w:lineRule="auto"/>
              <w:rPr>
                <w:rFonts w:eastAsia="Times New Roman" w:cstheme="minorHAnsi"/>
                <w:sz w:val="20"/>
                <w:szCs w:val="20"/>
              </w:rPr>
            </w:pPr>
          </w:p>
        </w:tc>
        <w:tc>
          <w:tcPr>
            <w:tcW w:w="2061" w:type="dxa"/>
            <w:vMerge/>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222" w:type="dxa"/>
            <w:vMerge/>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089" w:type="dxa"/>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Scaffold</w:t>
            </w:r>
          </w:p>
        </w:tc>
        <w:tc>
          <w:tcPr>
            <w:tcW w:w="1375" w:type="dxa"/>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13.9</w:t>
            </w:r>
          </w:p>
        </w:tc>
        <w:tc>
          <w:tcPr>
            <w:tcW w:w="868" w:type="dxa"/>
            <w:vMerge/>
            <w:hideMark/>
          </w:tcPr>
          <w:p w:rsidR="00C717C2" w:rsidRPr="00C717C2" w:rsidRDefault="00C717C2" w:rsidP="00C717C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p>
        </w:tc>
        <w:tc>
          <w:tcPr>
            <w:tcW w:w="720" w:type="dxa"/>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0.82</w:t>
            </w:r>
          </w:p>
        </w:tc>
        <w:tc>
          <w:tcPr>
            <w:tcW w:w="0" w:type="auto"/>
            <w:vMerge/>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p>
        </w:tc>
        <w:tc>
          <w:tcPr>
            <w:tcW w:w="0" w:type="auto"/>
            <w:vMerge/>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r>
      <w:tr w:rsidR="00C717C2" w:rsidRPr="00C717C2" w:rsidTr="005562ED">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00C717C2" w:rsidRPr="00C717C2" w:rsidRDefault="00C717C2" w:rsidP="00C717C2">
            <w:pPr>
              <w:spacing w:line="276" w:lineRule="auto"/>
              <w:rPr>
                <w:rFonts w:eastAsia="Times New Roman" w:cstheme="minorHAnsi"/>
                <w:sz w:val="20"/>
                <w:szCs w:val="20"/>
              </w:rPr>
            </w:pPr>
            <w:r w:rsidRPr="00C717C2">
              <w:rPr>
                <w:rFonts w:eastAsia="Times New Roman" w:cstheme="minorHAnsi"/>
                <w:sz w:val="20"/>
                <w:szCs w:val="20"/>
              </w:rPr>
              <w:lastRenderedPageBreak/>
              <w:t>Zhang et al. (2023) [163]</w:t>
            </w:r>
          </w:p>
        </w:tc>
        <w:tc>
          <w:tcPr>
            <w:tcW w:w="2061" w:type="dxa"/>
            <w:vMerge w:val="restart"/>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PolymerTransformer</w:t>
            </w:r>
          </w:p>
        </w:tc>
        <w:tc>
          <w:tcPr>
            <w:tcW w:w="1222" w:type="dxa"/>
            <w:vMerge w:val="restart"/>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PolyInfo (Curated)</w:t>
            </w:r>
          </w:p>
        </w:tc>
        <w:tc>
          <w:tcPr>
            <w:tcW w:w="1089" w:type="dxa"/>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Random</w:t>
            </w:r>
          </w:p>
        </w:tc>
        <w:tc>
          <w:tcPr>
            <w:tcW w:w="1375" w:type="dxa"/>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6.1</w:t>
            </w:r>
          </w:p>
        </w:tc>
        <w:tc>
          <w:tcPr>
            <w:tcW w:w="868" w:type="dxa"/>
            <w:vMerge w:val="restart"/>
            <w:hideMark/>
          </w:tcPr>
          <w:p w:rsidR="00C717C2" w:rsidRPr="00C717C2" w:rsidRDefault="00C717C2" w:rsidP="00C717C2">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p>
          <w:p w:rsidR="00C717C2" w:rsidRPr="00C717C2" w:rsidRDefault="00C717C2" w:rsidP="00C717C2">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C717C2">
              <w:rPr>
                <w:rFonts w:eastAsia="Times New Roman" w:cstheme="minorHAnsi"/>
                <w:b/>
                <w:bCs/>
                <w:sz w:val="20"/>
                <w:szCs w:val="20"/>
              </w:rPr>
              <w:t>+4.6</w:t>
            </w:r>
          </w:p>
          <w:p w:rsidR="00C717C2" w:rsidRPr="00C717C2" w:rsidRDefault="00C717C2" w:rsidP="00C717C2">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p>
        </w:tc>
        <w:tc>
          <w:tcPr>
            <w:tcW w:w="720" w:type="dxa"/>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0.95</w:t>
            </w:r>
          </w:p>
        </w:tc>
        <w:tc>
          <w:tcPr>
            <w:tcW w:w="0" w:type="auto"/>
            <w:vMerge w:val="restart"/>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C717C2">
              <w:rPr>
                <w:rFonts w:eastAsia="Times New Roman" w:cstheme="minorHAnsi"/>
                <w:b/>
                <w:bCs/>
                <w:sz w:val="20"/>
                <w:szCs w:val="20"/>
              </w:rPr>
              <w:t xml:space="preserve"> 0.05</w:t>
            </w:r>
          </w:p>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C717C2">
              <w:rPr>
                <w:rFonts w:eastAsia="Times New Roman" w:cstheme="minorHAnsi"/>
                <w:b/>
                <w:bCs/>
                <w:sz w:val="20"/>
                <w:szCs w:val="20"/>
              </w:rPr>
              <w:t xml:space="preserve"> </w:t>
            </w:r>
          </w:p>
        </w:tc>
        <w:tc>
          <w:tcPr>
            <w:tcW w:w="0" w:type="auto"/>
            <w:vMerge w:val="restart"/>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11,762</w:t>
            </w:r>
          </w:p>
        </w:tc>
      </w:tr>
      <w:tr w:rsidR="00C717C2" w:rsidRPr="00C717C2" w:rsidTr="005562ED">
        <w:trPr>
          <w:trHeight w:val="398"/>
        </w:trPr>
        <w:tc>
          <w:tcPr>
            <w:cnfStyle w:val="001000000000" w:firstRow="0" w:lastRow="0" w:firstColumn="1" w:lastColumn="0" w:oddVBand="0" w:evenVBand="0" w:oddHBand="0" w:evenHBand="0" w:firstRowFirstColumn="0" w:firstRowLastColumn="0" w:lastRowFirstColumn="0" w:lastRowLastColumn="0"/>
            <w:tcW w:w="0" w:type="auto"/>
            <w:vMerge/>
            <w:hideMark/>
          </w:tcPr>
          <w:p w:rsidR="00C717C2" w:rsidRPr="00C717C2" w:rsidRDefault="00C717C2" w:rsidP="00C717C2">
            <w:pPr>
              <w:spacing w:line="276" w:lineRule="auto"/>
              <w:rPr>
                <w:rFonts w:eastAsia="Times New Roman" w:cstheme="minorHAnsi"/>
                <w:sz w:val="20"/>
                <w:szCs w:val="20"/>
              </w:rPr>
            </w:pPr>
          </w:p>
        </w:tc>
        <w:tc>
          <w:tcPr>
            <w:tcW w:w="2061" w:type="dxa"/>
            <w:vMerge/>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222" w:type="dxa"/>
            <w:vMerge/>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089" w:type="dxa"/>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Scaffold</w:t>
            </w:r>
          </w:p>
        </w:tc>
        <w:tc>
          <w:tcPr>
            <w:tcW w:w="1375" w:type="dxa"/>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10.7</w:t>
            </w:r>
          </w:p>
        </w:tc>
        <w:tc>
          <w:tcPr>
            <w:tcW w:w="868" w:type="dxa"/>
            <w:vMerge/>
            <w:hideMark/>
          </w:tcPr>
          <w:p w:rsidR="00C717C2" w:rsidRPr="00C717C2" w:rsidRDefault="00C717C2" w:rsidP="00C717C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p>
        </w:tc>
        <w:tc>
          <w:tcPr>
            <w:tcW w:w="720" w:type="dxa"/>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0.90</w:t>
            </w:r>
          </w:p>
        </w:tc>
        <w:tc>
          <w:tcPr>
            <w:tcW w:w="0" w:type="auto"/>
            <w:vMerge/>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0"/>
                <w:szCs w:val="20"/>
              </w:rPr>
            </w:pPr>
          </w:p>
        </w:tc>
        <w:tc>
          <w:tcPr>
            <w:tcW w:w="0" w:type="auto"/>
            <w:vMerge/>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r>
      <w:tr w:rsidR="00C717C2" w:rsidRPr="00C717C2" w:rsidTr="005562ED">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rsidR="00C717C2" w:rsidRPr="00C717C2" w:rsidRDefault="00C717C2" w:rsidP="00C717C2">
            <w:pPr>
              <w:spacing w:line="276" w:lineRule="auto"/>
              <w:rPr>
                <w:rFonts w:eastAsia="Times New Roman" w:cstheme="minorHAnsi"/>
                <w:sz w:val="20"/>
                <w:szCs w:val="20"/>
              </w:rPr>
            </w:pPr>
            <w:r w:rsidRPr="00C717C2">
              <w:rPr>
                <w:rFonts w:eastAsia="Times New Roman" w:cstheme="minorHAnsi"/>
                <w:sz w:val="20"/>
                <w:szCs w:val="20"/>
              </w:rPr>
              <w:t>Huang et al. (2025) [57]</w:t>
            </w:r>
          </w:p>
        </w:tc>
        <w:tc>
          <w:tcPr>
            <w:tcW w:w="2061" w:type="dxa"/>
            <w:vMerge w:val="restart"/>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Uni-Poly (Multimodal)</w:t>
            </w:r>
          </w:p>
        </w:tc>
        <w:tc>
          <w:tcPr>
            <w:tcW w:w="1222" w:type="dxa"/>
            <w:vMerge w:val="restart"/>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vertAlign w:val="superscript"/>
              </w:rPr>
            </w:pPr>
            <w:r w:rsidRPr="00C717C2">
              <w:rPr>
                <w:rFonts w:eastAsia="Times New Roman" w:cstheme="minorHAnsi"/>
                <w:sz w:val="20"/>
                <w:szCs w:val="20"/>
              </w:rPr>
              <w:t>Mixed Dataset</w:t>
            </w:r>
            <w:r w:rsidRPr="00C717C2">
              <w:rPr>
                <w:rFonts w:eastAsia="Times New Roman" w:cstheme="minorHAnsi"/>
                <w:sz w:val="20"/>
                <w:szCs w:val="20"/>
                <w:vertAlign w:val="superscript"/>
              </w:rPr>
              <w:t>1</w:t>
            </w:r>
          </w:p>
        </w:tc>
        <w:tc>
          <w:tcPr>
            <w:tcW w:w="1089" w:type="dxa"/>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Random</w:t>
            </w:r>
          </w:p>
        </w:tc>
        <w:tc>
          <w:tcPr>
            <w:tcW w:w="1375" w:type="dxa"/>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5.4</w:t>
            </w:r>
          </w:p>
        </w:tc>
        <w:tc>
          <w:tcPr>
            <w:tcW w:w="868" w:type="dxa"/>
            <w:vMerge w:val="restart"/>
            <w:hideMark/>
          </w:tcPr>
          <w:p w:rsidR="00C717C2" w:rsidRPr="00C717C2" w:rsidRDefault="00C717C2" w:rsidP="00C717C2">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p>
          <w:p w:rsidR="00C717C2" w:rsidRPr="00C717C2" w:rsidRDefault="00C717C2" w:rsidP="00C717C2">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C717C2">
              <w:rPr>
                <w:rFonts w:eastAsia="Times New Roman" w:cstheme="minorHAnsi"/>
                <w:b/>
                <w:bCs/>
                <w:sz w:val="20"/>
                <w:szCs w:val="20"/>
              </w:rPr>
              <w:t>+3.8</w:t>
            </w:r>
          </w:p>
          <w:p w:rsidR="00C717C2" w:rsidRPr="00C717C2" w:rsidRDefault="00C717C2" w:rsidP="00C717C2">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p>
        </w:tc>
        <w:tc>
          <w:tcPr>
            <w:tcW w:w="720" w:type="dxa"/>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0.97</w:t>
            </w:r>
          </w:p>
        </w:tc>
        <w:tc>
          <w:tcPr>
            <w:tcW w:w="0" w:type="auto"/>
            <w:vMerge w:val="restart"/>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C717C2">
              <w:rPr>
                <w:rFonts w:eastAsia="Times New Roman" w:cstheme="minorHAnsi"/>
                <w:b/>
                <w:bCs/>
                <w:sz w:val="20"/>
                <w:szCs w:val="20"/>
              </w:rPr>
              <w:t xml:space="preserve"> 0.04</w:t>
            </w:r>
          </w:p>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rPr>
            </w:pPr>
            <w:r w:rsidRPr="00C717C2">
              <w:rPr>
                <w:rFonts w:eastAsia="Times New Roman" w:cstheme="minorHAnsi"/>
                <w:b/>
                <w:bCs/>
                <w:sz w:val="20"/>
                <w:szCs w:val="20"/>
              </w:rPr>
              <w:t xml:space="preserve"> </w:t>
            </w:r>
          </w:p>
        </w:tc>
        <w:tc>
          <w:tcPr>
            <w:tcW w:w="0" w:type="auto"/>
            <w:vMerge w:val="restart"/>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vertAlign w:val="superscript"/>
              </w:rPr>
            </w:pPr>
            <w:r w:rsidRPr="00C717C2">
              <w:rPr>
                <w:rFonts w:eastAsia="Times New Roman" w:cstheme="minorHAnsi"/>
                <w:sz w:val="20"/>
                <w:szCs w:val="20"/>
              </w:rPr>
              <w:t>~10,000</w:t>
            </w:r>
          </w:p>
        </w:tc>
      </w:tr>
      <w:tr w:rsidR="00C717C2" w:rsidRPr="00C717C2" w:rsidTr="005562ED">
        <w:trPr>
          <w:trHeight w:val="374"/>
        </w:trPr>
        <w:tc>
          <w:tcPr>
            <w:cnfStyle w:val="001000000000" w:firstRow="0" w:lastRow="0" w:firstColumn="1" w:lastColumn="0" w:oddVBand="0" w:evenVBand="0" w:oddHBand="0" w:evenHBand="0" w:firstRowFirstColumn="0" w:firstRowLastColumn="0" w:lastRowFirstColumn="0" w:lastRowLastColumn="0"/>
            <w:tcW w:w="0" w:type="auto"/>
            <w:vMerge/>
            <w:hideMark/>
          </w:tcPr>
          <w:p w:rsidR="00C717C2" w:rsidRPr="00C717C2" w:rsidRDefault="00C717C2" w:rsidP="00C717C2">
            <w:pPr>
              <w:spacing w:line="276" w:lineRule="auto"/>
              <w:rPr>
                <w:rFonts w:eastAsia="Times New Roman" w:cstheme="minorHAnsi"/>
                <w:sz w:val="20"/>
                <w:szCs w:val="20"/>
              </w:rPr>
            </w:pPr>
          </w:p>
        </w:tc>
        <w:tc>
          <w:tcPr>
            <w:tcW w:w="2061" w:type="dxa"/>
            <w:vMerge/>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222" w:type="dxa"/>
            <w:vMerge/>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089" w:type="dxa"/>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Scaffold</w:t>
            </w:r>
          </w:p>
        </w:tc>
        <w:tc>
          <w:tcPr>
            <w:tcW w:w="1375" w:type="dxa"/>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9.2</w:t>
            </w:r>
          </w:p>
        </w:tc>
        <w:tc>
          <w:tcPr>
            <w:tcW w:w="868" w:type="dxa"/>
            <w:vMerge/>
            <w:hideMark/>
          </w:tcPr>
          <w:p w:rsidR="00C717C2" w:rsidRPr="00C717C2" w:rsidRDefault="00C717C2" w:rsidP="00C717C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720" w:type="dxa"/>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0.93</w:t>
            </w:r>
          </w:p>
        </w:tc>
        <w:tc>
          <w:tcPr>
            <w:tcW w:w="0" w:type="auto"/>
            <w:vMerge/>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vMerge/>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r>
    </w:tbl>
    <w:p w:rsidR="00C717C2" w:rsidRDefault="00C717C2" w:rsidP="006F2DD6">
      <w:pPr>
        <w:spacing w:after="0" w:line="360" w:lineRule="auto"/>
        <w:jc w:val="both"/>
        <w:rPr>
          <w:rFonts w:cstheme="minorHAnsi"/>
          <w:sz w:val="20"/>
          <w:szCs w:val="20"/>
        </w:rPr>
      </w:pPr>
      <w:r w:rsidRPr="00DE4DC4">
        <w:rPr>
          <w:rFonts w:asciiTheme="majorBidi" w:hAnsiTheme="majorBidi" w:cstheme="majorBidi"/>
          <w:b/>
          <w:bCs/>
          <w:noProof/>
        </w:rPr>
        <mc:AlternateContent>
          <mc:Choice Requires="wps">
            <w:drawing>
              <wp:anchor distT="0" distB="0" distL="114300" distR="114300" simplePos="0" relativeHeight="251687936" behindDoc="0" locked="0" layoutInCell="1" allowOverlap="1" wp14:anchorId="25C16624" wp14:editId="07783BEA">
                <wp:simplePos x="0" y="0"/>
                <wp:positionH relativeFrom="margin">
                  <wp:posOffset>-57151</wp:posOffset>
                </wp:positionH>
                <wp:positionV relativeFrom="paragraph">
                  <wp:posOffset>83820</wp:posOffset>
                </wp:positionV>
                <wp:extent cx="6810375" cy="771525"/>
                <wp:effectExtent l="0" t="0" r="9525" b="9525"/>
                <wp:wrapNone/>
                <wp:docPr id="39" name="Text Box 39"/>
                <wp:cNvGraphicFramePr/>
                <a:graphic xmlns:a="http://schemas.openxmlformats.org/drawingml/2006/main">
                  <a:graphicData uri="http://schemas.microsoft.com/office/word/2010/wordprocessingShape">
                    <wps:wsp>
                      <wps:cNvSpPr txBox="1"/>
                      <wps:spPr>
                        <a:xfrm>
                          <a:off x="0" y="0"/>
                          <a:ext cx="6810375" cy="771525"/>
                        </a:xfrm>
                        <a:prstGeom prst="rect">
                          <a:avLst/>
                        </a:prstGeom>
                        <a:solidFill>
                          <a:schemeClr val="lt1"/>
                        </a:solidFill>
                        <a:ln w="6350">
                          <a:noFill/>
                        </a:ln>
                      </wps:spPr>
                      <wps:txbx>
                        <w:txbxContent>
                          <w:p w:rsidR="005562ED" w:rsidRPr="00C717C2" w:rsidRDefault="005562ED" w:rsidP="00C717C2">
                            <w:pPr>
                              <w:spacing w:after="0" w:line="240" w:lineRule="auto"/>
                              <w:outlineLvl w:val="2"/>
                              <w:rPr>
                                <w:rFonts w:eastAsia="Times New Roman" w:cstheme="minorHAnsi"/>
                                <w:sz w:val="18"/>
                                <w:szCs w:val="18"/>
                              </w:rPr>
                            </w:pPr>
                            <w:r w:rsidRPr="00C717C2">
                              <w:rPr>
                                <w:rFonts w:eastAsia="Times New Roman" w:cstheme="minorHAnsi"/>
                                <w:b/>
                                <w:bCs/>
                                <w:sz w:val="18"/>
                                <w:szCs w:val="18"/>
                              </w:rPr>
                              <w:t>Table 10.</w:t>
                            </w:r>
                            <w:r w:rsidRPr="00C717C2">
                              <w:rPr>
                                <w:rFonts w:eastAsia="Times New Roman" w:cstheme="minorHAnsi"/>
                                <w:sz w:val="18"/>
                                <w:szCs w:val="18"/>
                              </w:rPr>
                              <w:t xml:space="preserve"> Representative Results for Glass Transition Temperature (Tg) Prediction -Performance is reported as Mean Absolute Error (MAE, in °C) and coefficient of determination (R²). ΔMAE and ΔR² quantify the performance drop from random to scaffold splits, highlighting the importance of rigorous evaluation strategies.</w:t>
                            </w:r>
                            <w:r w:rsidRPr="00C717C2">
                              <w:rPr>
                                <w:rFonts w:cstheme="minorHAnsi"/>
                                <w:sz w:val="18"/>
                                <w:szCs w:val="18"/>
                              </w:rPr>
                              <w:t xml:space="preserve"> </w:t>
                            </w:r>
                            <w:r>
                              <w:rPr>
                                <w:rFonts w:cstheme="minorHAnsi"/>
                                <w:sz w:val="18"/>
                                <w:szCs w:val="18"/>
                              </w:rPr>
                              <w:t xml:space="preserve"> </w:t>
                            </w:r>
                            <w:r w:rsidRPr="00C717C2">
                              <w:rPr>
                                <w:rFonts w:eastAsia="Times New Roman" w:cstheme="minorHAnsi"/>
                                <w:sz w:val="18"/>
                                <w:szCs w:val="18"/>
                                <w:vertAlign w:val="superscript"/>
                              </w:rPr>
                              <w:t xml:space="preserve">1 </w:t>
                            </w:r>
                            <w:r w:rsidRPr="00C717C2">
                              <w:rPr>
                                <w:rFonts w:eastAsia="Times New Roman" w:cstheme="minorHAnsi"/>
                                <w:sz w:val="18"/>
                                <w:szCs w:val="18"/>
                              </w:rPr>
                              <w:t>The Mixed Dataset: For the pre-training phase, they used a massive dataset of ~3 million polymers compiled from various sources (including PI1M and others). The reported values here, are for testing on the standard PolyInfo Dataset.</w:t>
                            </w:r>
                          </w:p>
                          <w:p w:rsidR="005562ED" w:rsidRPr="00C717C2" w:rsidRDefault="005562ED" w:rsidP="00C717C2">
                            <w:pPr>
                              <w:rPr>
                                <w:rFonts w:cstheme="minorHAns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16624" id="Text Box 39" o:spid="_x0000_s1039" type="#_x0000_t202" style="position:absolute;left:0;text-align:left;margin-left:-4.5pt;margin-top:6.6pt;width:536.25pt;height:60.7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tJKRwIAAIMEAAAOAAAAZHJzL2Uyb0RvYy54bWysVE1v2zAMvQ/YfxB0X2zno2mNOEWWIsOA&#10;oi2QDD0rspQYkEVNUmJnv36UHKdpt9Owi0KR9BP5HpnZfVsrchTWVaALmg1SSoTmUFZ6V9Afm9WX&#10;W0qcZ7pkCrQo6Ek4ej///GnWmFwMYQ+qFJYgiHZ5Ywq6997kSeL4XtTMDcAIjUEJtmYer3aXlJY1&#10;iF6rZJimN0kDtjQWuHAOvQ9dkM4jvpSC+2cpnfBEFRRr8/G08dyGM5nPWL6zzOwrfi6D/UMVNas0&#10;PnqBemCekYOt/oCqK27BgfQDDnUCUlZcxB6wmyz90M16z4yIvSA5zlxocv8Plj8dXyypyoKO7ijR&#10;rEaNNqL15Cu0BF3IT2Ncjmlrg4m+RT/q3PsdOkPbrbR1+MWGCMaR6dOF3YDG0Xlzm6Wj6YQSjrHp&#10;NJsMJwEmefvaWOe/CahJMApqUb1IKjs+Ot+l9inhMQeqKleVUvESJkYslSVHhlorH2tE8HdZSpMG&#10;KxlN0gisIXzeISuNtYReu56C5dttG7nJRn3DWyhPyIOFbpKc4asKi31kzr8wi6ODreM6+Gc8pAJ8&#10;DM4WJXuwv/7mD/moKEYpaXAUC+p+HpgVlKjvGrW+y8bjMLvxMp5Mh3ix15HtdUQf6iUgAxkunuHR&#10;DPle9aa0UL/i1izCqxhimuPbBfW9ufTdguDWcbFYxCScVsP8o14bHqAD40GKTfvKrDnr5VHpJ+iH&#10;luUfZOtyw5caFgcPsoqaBqI7Vs/846THqThvZVil63vMevvvmP8GAAD//wMAUEsDBBQABgAIAAAA&#10;IQBRyu3B4AAAAAoBAAAPAAAAZHJzL2Rvd25yZXYueG1sTI/BTsMwEETvSPyDtUhcUOvQ0BZCnAoh&#10;oBI3mhbEzY2XJCJeR7GbhL9nc4Ljzoxm36Sb0Taix87XjhRczyMQSIUzNZUK9vnz7BaED5qMbhyh&#10;gh/0sMnOz1KdGDfQG/a7UAouIZ9oBVUIbSKlLyq02s9di8Tel+usDnx2pTSdHrjcNnIRRStpdU38&#10;odItPlZYfO9OVsHnVfnx6seXwxAv4/Zp2+frd5MrdXkxPtyDCDiGvzBM+IwOGTMd3YmMF42C2R1P&#10;CazHCxCTH63iJYjjpNysQWap/D8h+wUAAP//AwBQSwECLQAUAAYACAAAACEAtoM4kv4AAADhAQAA&#10;EwAAAAAAAAAAAAAAAAAAAAAAW0NvbnRlbnRfVHlwZXNdLnhtbFBLAQItABQABgAIAAAAIQA4/SH/&#10;1gAAAJQBAAALAAAAAAAAAAAAAAAAAC8BAABfcmVscy8ucmVsc1BLAQItABQABgAIAAAAIQBdXtJK&#10;RwIAAIMEAAAOAAAAAAAAAAAAAAAAAC4CAABkcnMvZTJvRG9jLnhtbFBLAQItABQABgAIAAAAIQBR&#10;yu3B4AAAAAoBAAAPAAAAAAAAAAAAAAAAAKEEAABkcnMvZG93bnJldi54bWxQSwUGAAAAAAQABADz&#10;AAAArgUAAAAA&#10;" fillcolor="white [3201]" stroked="f" strokeweight=".5pt">
                <v:textbox>
                  <w:txbxContent>
                    <w:p w:rsidR="005562ED" w:rsidRPr="00C717C2" w:rsidRDefault="005562ED" w:rsidP="00C717C2">
                      <w:pPr>
                        <w:spacing w:after="0" w:line="240" w:lineRule="auto"/>
                        <w:outlineLvl w:val="2"/>
                        <w:rPr>
                          <w:rFonts w:eastAsia="Times New Roman" w:cstheme="minorHAnsi"/>
                          <w:sz w:val="18"/>
                          <w:szCs w:val="18"/>
                        </w:rPr>
                      </w:pPr>
                      <w:r w:rsidRPr="00C717C2">
                        <w:rPr>
                          <w:rFonts w:eastAsia="Times New Roman" w:cstheme="minorHAnsi"/>
                          <w:b/>
                          <w:bCs/>
                          <w:sz w:val="18"/>
                          <w:szCs w:val="18"/>
                        </w:rPr>
                        <w:t>Table 10.</w:t>
                      </w:r>
                      <w:r w:rsidRPr="00C717C2">
                        <w:rPr>
                          <w:rFonts w:eastAsia="Times New Roman" w:cstheme="minorHAnsi"/>
                          <w:sz w:val="18"/>
                          <w:szCs w:val="18"/>
                        </w:rPr>
                        <w:t xml:space="preserve"> Representative Results for Glass Transition Temperature (Tg) Prediction -Performance is reported as Mean Absolute Error (MAE, in °C) and coefficient of determination (R²). ΔMAE and ΔR² quantify the performance drop from random to scaffold splits, highlighting the importance of rigorous evaluation strategies.</w:t>
                      </w:r>
                      <w:r w:rsidRPr="00C717C2">
                        <w:rPr>
                          <w:rFonts w:cstheme="minorHAnsi"/>
                          <w:sz w:val="18"/>
                          <w:szCs w:val="18"/>
                        </w:rPr>
                        <w:t xml:space="preserve"> </w:t>
                      </w:r>
                      <w:r>
                        <w:rPr>
                          <w:rFonts w:cstheme="minorHAnsi"/>
                          <w:sz w:val="18"/>
                          <w:szCs w:val="18"/>
                        </w:rPr>
                        <w:t xml:space="preserve"> </w:t>
                      </w:r>
                      <w:r w:rsidRPr="00C717C2">
                        <w:rPr>
                          <w:rFonts w:eastAsia="Times New Roman" w:cstheme="minorHAnsi"/>
                          <w:sz w:val="18"/>
                          <w:szCs w:val="18"/>
                          <w:vertAlign w:val="superscript"/>
                        </w:rPr>
                        <w:t xml:space="preserve">1 </w:t>
                      </w:r>
                      <w:r w:rsidRPr="00C717C2">
                        <w:rPr>
                          <w:rFonts w:eastAsia="Times New Roman" w:cstheme="minorHAnsi"/>
                          <w:sz w:val="18"/>
                          <w:szCs w:val="18"/>
                        </w:rPr>
                        <w:t>The Mixed Dataset: For the pre-training phase, they used a massive dataset of ~3 million polymers compiled from various sources (including PI1M and others). The reported values here, are for testing on the standard PolyInfo Dataset.</w:t>
                      </w:r>
                    </w:p>
                    <w:p w:rsidR="005562ED" w:rsidRPr="00C717C2" w:rsidRDefault="005562ED" w:rsidP="00C717C2">
                      <w:pPr>
                        <w:rPr>
                          <w:rFonts w:cstheme="minorHAnsi"/>
                          <w:sz w:val="18"/>
                          <w:szCs w:val="18"/>
                        </w:rPr>
                      </w:pPr>
                    </w:p>
                  </w:txbxContent>
                </v:textbox>
                <w10:wrap anchorx="margin"/>
              </v:shape>
            </w:pict>
          </mc:Fallback>
        </mc:AlternateContent>
      </w:r>
    </w:p>
    <w:p w:rsidR="00C717C2" w:rsidRDefault="00C717C2" w:rsidP="006F2DD6">
      <w:pPr>
        <w:spacing w:after="0" w:line="360" w:lineRule="auto"/>
        <w:jc w:val="both"/>
        <w:rPr>
          <w:rFonts w:cstheme="minorHAnsi"/>
          <w:sz w:val="20"/>
          <w:szCs w:val="20"/>
        </w:rPr>
      </w:pPr>
    </w:p>
    <w:p w:rsidR="00C717C2" w:rsidRPr="006C7800" w:rsidRDefault="00C717C2" w:rsidP="006F2DD6">
      <w:pPr>
        <w:spacing w:after="0" w:line="360" w:lineRule="auto"/>
        <w:jc w:val="both"/>
        <w:rPr>
          <w:rFonts w:cstheme="minorHAnsi"/>
          <w:sz w:val="20"/>
          <w:szCs w:val="20"/>
        </w:rPr>
      </w:pPr>
    </w:p>
    <w:p w:rsidR="00C717C2" w:rsidRDefault="00C717C2" w:rsidP="004D0E2F">
      <w:pPr>
        <w:spacing w:after="0" w:line="360" w:lineRule="auto"/>
        <w:jc w:val="both"/>
        <w:rPr>
          <w:rFonts w:cstheme="minorHAnsi"/>
          <w:b/>
          <w:bCs/>
          <w:sz w:val="20"/>
          <w:szCs w:val="20"/>
        </w:rPr>
      </w:pPr>
    </w:p>
    <w:p w:rsidR="00C57922" w:rsidRPr="006F2DD6" w:rsidRDefault="00C57922" w:rsidP="00C717C2">
      <w:pPr>
        <w:spacing w:before="240" w:after="0" w:line="360" w:lineRule="auto"/>
        <w:jc w:val="both"/>
        <w:rPr>
          <w:rFonts w:cstheme="minorHAnsi"/>
          <w:b/>
          <w:bCs/>
          <w:sz w:val="20"/>
          <w:szCs w:val="20"/>
        </w:rPr>
      </w:pPr>
      <w:r w:rsidRPr="006F2DD6">
        <w:rPr>
          <w:rFonts w:cstheme="minorHAnsi"/>
          <w:b/>
          <w:bCs/>
          <w:sz w:val="20"/>
          <w:szCs w:val="20"/>
        </w:rPr>
        <w:t>The Generalization Gap: Quantifying the Impact of Splitting Strategies</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 xml:space="preserve">Results in Table 10 reveal a foundational methodological insight: data splitting strategy impacts reported performance more than architecture. Across all methods, random splits produce lower MAEs and higher </w:t>
      </w:r>
    </w:p>
    <w:p w:rsidR="00C57922" w:rsidRPr="006C7800" w:rsidRDefault="00C57922" w:rsidP="006F2DD6">
      <w:pPr>
        <w:spacing w:after="0" w:line="360" w:lineRule="auto"/>
        <w:jc w:val="both"/>
        <w:rPr>
          <w:rFonts w:cstheme="minorHAnsi"/>
          <w:sz w:val="20"/>
          <w:szCs w:val="20"/>
        </w:rPr>
      </w:pPr>
      <w:r w:rsidRPr="006C7800">
        <w:rPr>
          <w:rFonts w:cstheme="minorHAnsi"/>
          <w:i/>
          <w:iCs/>
          <w:sz w:val="20"/>
          <w:szCs w:val="20"/>
        </w:rPr>
        <w:t>R</w:t>
      </w:r>
      <w:r w:rsidRPr="006C7800">
        <w:rPr>
          <w:rFonts w:cstheme="minorHAnsi"/>
          <w:sz w:val="20"/>
          <w:szCs w:val="20"/>
        </w:rPr>
        <w:t>2, creating inflated accuracy. This over-performance stems from scaffold leakage, where chemically similar repeat units appear in both sets, enabling models to rely on in-distribution interpolation rather than true OOD extrapolation.</w:t>
      </w:r>
    </w:p>
    <w:p w:rsidR="006F2DD6" w:rsidRPr="006F2DD6" w:rsidRDefault="00C57922" w:rsidP="006F2DD6">
      <w:pPr>
        <w:spacing w:after="0" w:line="360" w:lineRule="auto"/>
        <w:jc w:val="both"/>
        <w:rPr>
          <w:rFonts w:cstheme="minorHAnsi"/>
          <w:b/>
          <w:bCs/>
          <w:sz w:val="20"/>
          <w:szCs w:val="20"/>
        </w:rPr>
      </w:pPr>
      <w:r w:rsidRPr="006F2DD6">
        <w:rPr>
          <w:rFonts w:cstheme="minorHAnsi"/>
          <w:b/>
          <w:bCs/>
          <w:sz w:val="20"/>
          <w:szCs w:val="20"/>
        </w:rPr>
        <w:t xml:space="preserve">1. Splitting Strategy as the Dominant Performance Driver </w:t>
      </w:r>
    </w:p>
    <w:p w:rsidR="00C57922" w:rsidRPr="006C7800" w:rsidRDefault="00C57922" w:rsidP="006F2DD6">
      <w:pPr>
        <w:spacing w:after="0" w:line="360" w:lineRule="auto"/>
        <w:jc w:val="both"/>
        <w:rPr>
          <w:rFonts w:cstheme="minorHAnsi"/>
          <w:sz w:val="20"/>
          <w:szCs w:val="20"/>
        </w:rPr>
      </w:pPr>
      <w:r w:rsidRPr="006C7800">
        <w:rPr>
          <w:rFonts w:cstheme="minorHAnsi"/>
          <w:sz w:val="20"/>
          <w:szCs w:val="20"/>
        </w:rPr>
        <w:t xml:space="preserve">Transitioning from random to scaffold-based validation imposes a substantial “performance tax,” increasing MAE by 3.8–6.6 °C and </w:t>
      </w:r>
      <w:r w:rsidR="00C717C2" w:rsidRPr="006C7800">
        <w:rPr>
          <w:rFonts w:cstheme="minorHAnsi"/>
          <w:sz w:val="20"/>
          <w:szCs w:val="20"/>
        </w:rPr>
        <w:t xml:space="preserve">reducing </w:t>
      </w:r>
      <w:r w:rsidR="00C717C2">
        <w:rPr>
          <w:rFonts w:cstheme="minorHAnsi"/>
          <w:sz w:val="20"/>
          <w:szCs w:val="20"/>
        </w:rPr>
        <w:t>R</w:t>
      </w:r>
      <w:r w:rsidRPr="00753CEC">
        <w:rPr>
          <w:rFonts w:cstheme="minorHAnsi"/>
          <w:sz w:val="20"/>
          <w:szCs w:val="20"/>
          <w:vertAlign w:val="superscript"/>
        </w:rPr>
        <w:t>2</w:t>
      </w:r>
      <w:r w:rsidR="006F2DD6">
        <w:rPr>
          <w:rFonts w:cstheme="minorHAnsi"/>
          <w:sz w:val="20"/>
          <w:szCs w:val="20"/>
        </w:rPr>
        <w:t xml:space="preserve"> </w:t>
      </w:r>
      <w:r w:rsidRPr="006C7800">
        <w:rPr>
          <w:rFonts w:cstheme="minorHAnsi"/>
          <w:sz w:val="20"/>
          <w:szCs w:val="20"/>
        </w:rPr>
        <w:t>by 0.04–0.16. The Random Forest baseline illustrates this dramatically: MAE rises nearly 60% (11.2 °C → 17.8 °C), and</w:t>
      </w:r>
      <w:r w:rsidR="006F2DD6">
        <w:rPr>
          <w:rFonts w:cstheme="minorHAnsi"/>
          <w:sz w:val="20"/>
          <w:szCs w:val="20"/>
        </w:rPr>
        <w:t xml:space="preserve"> </w:t>
      </w:r>
      <w:r w:rsidRPr="00753CEC">
        <w:rPr>
          <w:rFonts w:cstheme="minorHAnsi"/>
          <w:sz w:val="20"/>
          <w:szCs w:val="20"/>
        </w:rPr>
        <w:t>R</w:t>
      </w:r>
      <w:r w:rsidRPr="00753CEC">
        <w:rPr>
          <w:rFonts w:cstheme="minorHAnsi"/>
          <w:sz w:val="20"/>
          <w:szCs w:val="20"/>
          <w:vertAlign w:val="superscript"/>
        </w:rPr>
        <w:t>2</w:t>
      </w:r>
      <w:r w:rsidR="006F2DD6" w:rsidRPr="00753CEC">
        <w:rPr>
          <w:rFonts w:cstheme="minorHAnsi"/>
          <w:sz w:val="20"/>
          <w:szCs w:val="20"/>
        </w:rPr>
        <w:t xml:space="preserve"> </w:t>
      </w:r>
      <w:r w:rsidRPr="006C7800">
        <w:rPr>
          <w:rFonts w:cstheme="minorHAnsi"/>
          <w:sz w:val="20"/>
          <w:szCs w:val="20"/>
        </w:rPr>
        <w:t>collapses (0.84 → 0.68) once scaffold overlap is removed. This shows shallow models depend heavily on structural familiarity, functioning like lookup tables rather than engines predicting properties for novel chemistries.</w:t>
      </w:r>
    </w:p>
    <w:p w:rsidR="006F2DD6" w:rsidRPr="006F2DD6" w:rsidRDefault="00C57922" w:rsidP="004D0E2F">
      <w:pPr>
        <w:spacing w:after="0" w:line="360" w:lineRule="auto"/>
        <w:jc w:val="both"/>
        <w:rPr>
          <w:rFonts w:cstheme="minorHAnsi"/>
          <w:b/>
          <w:bCs/>
          <w:sz w:val="20"/>
          <w:szCs w:val="20"/>
        </w:rPr>
      </w:pPr>
      <w:r w:rsidRPr="006F2DD6">
        <w:rPr>
          <w:rFonts w:cstheme="minorHAnsi"/>
          <w:b/>
          <w:bCs/>
          <w:sz w:val="20"/>
          <w:szCs w:val="20"/>
        </w:rPr>
        <w:t xml:space="preserve">2. Architectural Resilience and Structural Abstraction </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While all models exhibit sensitivity to splitting regime, magnitude of the “Scaffold Penalty” varies, revealing differences in robustness:</w:t>
      </w:r>
    </w:p>
    <w:p w:rsidR="00C57922" w:rsidRPr="006F2DD6" w:rsidRDefault="00C57922" w:rsidP="00F02B89">
      <w:pPr>
        <w:numPr>
          <w:ilvl w:val="0"/>
          <w:numId w:val="32"/>
        </w:numPr>
        <w:spacing w:after="0" w:line="360" w:lineRule="auto"/>
        <w:jc w:val="both"/>
        <w:rPr>
          <w:rFonts w:cstheme="minorHAnsi"/>
          <w:sz w:val="20"/>
          <w:szCs w:val="20"/>
        </w:rPr>
      </w:pPr>
      <w:r w:rsidRPr="006F2DD6">
        <w:rPr>
          <w:rFonts w:cstheme="minorHAnsi"/>
          <w:sz w:val="20"/>
          <w:szCs w:val="20"/>
        </w:rPr>
        <w:t xml:space="preserve">PolymerTransformer (Zhang et al.) maintains impressive </w:t>
      </w:r>
      <w:r w:rsidRPr="006F2DD6">
        <w:rPr>
          <w:rFonts w:cstheme="minorHAnsi"/>
          <w:i/>
          <w:iCs/>
          <w:sz w:val="20"/>
          <w:szCs w:val="20"/>
        </w:rPr>
        <w:t>R</w:t>
      </w:r>
      <w:r w:rsidRPr="00753CEC">
        <w:rPr>
          <w:rFonts w:cstheme="minorHAnsi"/>
          <w:sz w:val="20"/>
          <w:szCs w:val="20"/>
          <w:vertAlign w:val="superscript"/>
        </w:rPr>
        <w:t>2</w:t>
      </w:r>
      <w:r w:rsidRPr="006F2DD6">
        <w:rPr>
          <w:rFonts w:cstheme="minorHAnsi"/>
          <w:sz w:val="20"/>
          <w:szCs w:val="20"/>
        </w:rPr>
        <w:t>=0.90</w:t>
      </w:r>
      <w:r w:rsidR="006F2DD6">
        <w:rPr>
          <w:rFonts w:cstheme="minorHAnsi"/>
          <w:sz w:val="20"/>
          <w:szCs w:val="20"/>
        </w:rPr>
        <w:t xml:space="preserve"> </w:t>
      </w:r>
      <w:r w:rsidRPr="006F2DD6">
        <w:rPr>
          <w:rFonts w:cstheme="minorHAnsi"/>
          <w:sz w:val="20"/>
          <w:szCs w:val="20"/>
        </w:rPr>
        <w:t>under scaffold splitting, suggesting strong structural abstraction. Large-scale pre-training on PI1M likely provides a learned “chemical grammar” supporting generalization under distribution shift.</w:t>
      </w:r>
    </w:p>
    <w:p w:rsidR="00C57922" w:rsidRPr="006F2DD6" w:rsidRDefault="006F2DD6" w:rsidP="00F02B89">
      <w:pPr>
        <w:numPr>
          <w:ilvl w:val="0"/>
          <w:numId w:val="32"/>
        </w:numPr>
        <w:spacing w:after="0" w:line="360" w:lineRule="auto"/>
        <w:jc w:val="both"/>
        <w:rPr>
          <w:rFonts w:cstheme="minorHAnsi"/>
          <w:sz w:val="20"/>
          <w:szCs w:val="20"/>
        </w:rPr>
      </w:pPr>
      <w:r w:rsidRPr="006F2DD6">
        <w:rPr>
          <w:rFonts w:cstheme="minorHAnsi"/>
          <w:sz w:val="20"/>
          <w:szCs w:val="20"/>
        </w:rPr>
        <w:t>Uni-</w:t>
      </w:r>
      <w:r w:rsidR="00C57922" w:rsidRPr="006F2DD6">
        <w:rPr>
          <w:rFonts w:cstheme="minorHAnsi"/>
          <w:sz w:val="20"/>
          <w:szCs w:val="20"/>
        </w:rPr>
        <w:t>Poly (Huang et al.), a multimodal framework, demonstrates highest resilience with smallest performance gap (Δ</w:t>
      </w:r>
      <w:r w:rsidR="00C57922" w:rsidRPr="006F2DD6">
        <w:rPr>
          <w:rFonts w:cstheme="minorHAnsi"/>
          <w:i/>
          <w:iCs/>
          <w:sz w:val="20"/>
          <w:szCs w:val="20"/>
        </w:rPr>
        <w:t>MAE</w:t>
      </w:r>
      <w:r w:rsidR="00753CEC">
        <w:rPr>
          <w:rFonts w:cstheme="minorHAnsi"/>
          <w:sz w:val="20"/>
          <w:szCs w:val="20"/>
        </w:rPr>
        <w:t>=3.8</w:t>
      </w:r>
      <w:r w:rsidR="00C57922" w:rsidRPr="006F2DD6">
        <w:rPr>
          <w:rFonts w:cstheme="minorHAnsi"/>
          <w:sz w:val="20"/>
          <w:szCs w:val="20"/>
        </w:rPr>
        <w:t>°C; Δ</w:t>
      </w:r>
      <w:r w:rsidR="00C57922" w:rsidRPr="006F2DD6">
        <w:rPr>
          <w:rFonts w:cstheme="minorHAnsi"/>
          <w:i/>
          <w:iCs/>
          <w:sz w:val="20"/>
          <w:szCs w:val="20"/>
        </w:rPr>
        <w:t>R</w:t>
      </w:r>
      <w:r w:rsidR="00C57922" w:rsidRPr="00753CEC">
        <w:rPr>
          <w:rFonts w:cstheme="minorHAnsi"/>
          <w:sz w:val="20"/>
          <w:szCs w:val="20"/>
          <w:vertAlign w:val="superscript"/>
        </w:rPr>
        <w:t>2</w:t>
      </w:r>
      <w:r w:rsidR="00C57922" w:rsidRPr="006F2DD6">
        <w:rPr>
          <w:rFonts w:cstheme="minorHAnsi"/>
          <w:sz w:val="20"/>
          <w:szCs w:val="20"/>
        </w:rPr>
        <w:t>=0.04). By integrating complementary representations (sequential SMILES, molecular graphs, processing descriptors), it captures deeper physical-chemical invariants transcending specific scaffolds.</w:t>
      </w:r>
      <w:r w:rsidRPr="006F2DD6">
        <w:rPr>
          <w:rFonts w:cstheme="minorHAnsi"/>
          <w:sz w:val="20"/>
          <w:szCs w:val="20"/>
        </w:rPr>
        <w:t xml:space="preserve"> </w:t>
      </w:r>
      <w:r w:rsidR="00C57922" w:rsidRPr="006F2DD6">
        <w:rPr>
          <w:rFonts w:cstheme="minorHAnsi"/>
          <w:sz w:val="20"/>
          <w:szCs w:val="20"/>
        </w:rPr>
        <w:t>This progression (RF → GNN → Transformer → Multimodal) reflects the transition from pattern memorization toward genuine extrapolative capability.</w:t>
      </w:r>
    </w:p>
    <w:p w:rsidR="006F2DD6" w:rsidRPr="006F2DD6" w:rsidRDefault="00C57922" w:rsidP="006F2DD6">
      <w:pPr>
        <w:spacing w:after="0" w:line="360" w:lineRule="auto"/>
        <w:jc w:val="both"/>
        <w:rPr>
          <w:rFonts w:cstheme="minorHAnsi"/>
          <w:b/>
          <w:bCs/>
          <w:sz w:val="20"/>
          <w:szCs w:val="20"/>
        </w:rPr>
      </w:pPr>
      <w:r w:rsidRPr="006F2DD6">
        <w:rPr>
          <w:rFonts w:cstheme="minorHAnsi"/>
          <w:b/>
          <w:bCs/>
          <w:sz w:val="20"/>
          <w:szCs w:val="20"/>
        </w:rPr>
        <w:lastRenderedPageBreak/>
        <w:t xml:space="preserve">3. The “Scaffold Gap” as a Diagnostic Metric for Reliability </w:t>
      </w:r>
    </w:p>
    <w:p w:rsidR="006F2DD6" w:rsidRDefault="006F2DD6" w:rsidP="006F2DD6">
      <w:pPr>
        <w:spacing w:after="0" w:line="360" w:lineRule="auto"/>
        <w:jc w:val="both"/>
        <w:rPr>
          <w:rFonts w:cstheme="minorHAnsi"/>
          <w:sz w:val="20"/>
          <w:szCs w:val="20"/>
        </w:rPr>
      </w:pPr>
      <w:r>
        <w:rPr>
          <w:rFonts w:cstheme="minorHAnsi"/>
          <w:sz w:val="20"/>
          <w:szCs w:val="20"/>
        </w:rPr>
        <w:t xml:space="preserve"> </w:t>
      </w:r>
      <w:r w:rsidR="00C57922" w:rsidRPr="006C7800">
        <w:rPr>
          <w:rFonts w:cstheme="minorHAnsi"/>
          <w:sz w:val="20"/>
          <w:szCs w:val="20"/>
        </w:rPr>
        <w:t>Δ</w:t>
      </w:r>
      <w:r w:rsidR="00C57922" w:rsidRPr="006C7800">
        <w:rPr>
          <w:rFonts w:cstheme="minorHAnsi"/>
          <w:i/>
          <w:iCs/>
          <w:sz w:val="20"/>
          <w:szCs w:val="20"/>
        </w:rPr>
        <w:t>MAE</w:t>
      </w:r>
      <w:r>
        <w:rPr>
          <w:rFonts w:cstheme="minorHAnsi"/>
          <w:i/>
          <w:iCs/>
          <w:sz w:val="20"/>
          <w:szCs w:val="20"/>
        </w:rPr>
        <w:t xml:space="preserve"> </w:t>
      </w:r>
      <w:r w:rsidR="00C57922" w:rsidRPr="006C7800">
        <w:rPr>
          <w:rFonts w:cstheme="minorHAnsi"/>
          <w:sz w:val="20"/>
          <w:szCs w:val="20"/>
        </w:rPr>
        <w:t>and Δ</w:t>
      </w:r>
      <w:r w:rsidR="00C57922" w:rsidRPr="006C7800">
        <w:rPr>
          <w:rFonts w:cstheme="minorHAnsi"/>
          <w:i/>
          <w:iCs/>
          <w:sz w:val="20"/>
          <w:szCs w:val="20"/>
        </w:rPr>
        <w:t>R</w:t>
      </w:r>
      <w:r w:rsidR="00C57922" w:rsidRPr="00F93044">
        <w:rPr>
          <w:rFonts w:cstheme="minorHAnsi"/>
          <w:sz w:val="20"/>
          <w:szCs w:val="20"/>
          <w:vertAlign w:val="superscript"/>
        </w:rPr>
        <w:t>2</w:t>
      </w:r>
      <w:r>
        <w:rPr>
          <w:rFonts w:cstheme="minorHAnsi"/>
          <w:sz w:val="20"/>
          <w:szCs w:val="20"/>
        </w:rPr>
        <w:t xml:space="preserve"> </w:t>
      </w:r>
      <w:r w:rsidR="00C57922" w:rsidRPr="006C7800">
        <w:rPr>
          <w:rFonts w:cstheme="minorHAnsi"/>
          <w:sz w:val="20"/>
          <w:szCs w:val="20"/>
        </w:rPr>
        <w:t>values serve as rigor indicators quantifying robustness to chemical novelty:</w:t>
      </w:r>
      <w:r>
        <w:rPr>
          <w:rFonts w:cstheme="minorHAnsi"/>
          <w:sz w:val="20"/>
          <w:szCs w:val="20"/>
        </w:rPr>
        <w:t xml:space="preserve"> </w:t>
      </w:r>
    </w:p>
    <w:p w:rsidR="00C57922" w:rsidRPr="006F2DD6" w:rsidRDefault="00C57922" w:rsidP="0011578A">
      <w:pPr>
        <w:pStyle w:val="ListParagraph"/>
        <w:numPr>
          <w:ilvl w:val="0"/>
          <w:numId w:val="49"/>
        </w:numPr>
        <w:spacing w:after="0" w:line="360" w:lineRule="auto"/>
        <w:jc w:val="both"/>
        <w:rPr>
          <w:rFonts w:cstheme="minorHAnsi"/>
          <w:sz w:val="20"/>
          <w:szCs w:val="20"/>
        </w:rPr>
      </w:pPr>
      <w:r w:rsidRPr="006F2DD6">
        <w:rPr>
          <w:rFonts w:cstheme="minorHAnsi"/>
          <w:sz w:val="20"/>
          <w:szCs w:val="20"/>
        </w:rPr>
        <w:t xml:space="preserve">Random Forest: </w:t>
      </w:r>
      <w:r w:rsidR="006F2DD6" w:rsidRPr="006F2DD6">
        <w:rPr>
          <w:rFonts w:cstheme="minorHAnsi"/>
          <w:sz w:val="20"/>
          <w:szCs w:val="20"/>
        </w:rPr>
        <w:t xml:space="preserve">  </w:t>
      </w:r>
      <w:r w:rsidRPr="006F2DD6">
        <w:rPr>
          <w:rFonts w:cstheme="minorHAnsi"/>
          <w:sz w:val="20"/>
          <w:szCs w:val="20"/>
        </w:rPr>
        <w:t>Δ</w:t>
      </w:r>
      <w:r w:rsidRPr="006F2DD6">
        <w:rPr>
          <w:rFonts w:cstheme="minorHAnsi"/>
          <w:i/>
          <w:iCs/>
          <w:sz w:val="20"/>
          <w:szCs w:val="20"/>
        </w:rPr>
        <w:t>MAE</w:t>
      </w:r>
      <w:r w:rsidRPr="006F2DD6">
        <w:rPr>
          <w:rFonts w:cstheme="minorHAnsi"/>
          <w:sz w:val="20"/>
          <w:szCs w:val="20"/>
        </w:rPr>
        <w:t>=6.6°C (high sensitivity)</w:t>
      </w:r>
    </w:p>
    <w:p w:rsidR="00C57922" w:rsidRPr="006F2DD6" w:rsidRDefault="00C57922" w:rsidP="00F02B89">
      <w:pPr>
        <w:numPr>
          <w:ilvl w:val="0"/>
          <w:numId w:val="33"/>
        </w:numPr>
        <w:spacing w:after="0" w:line="360" w:lineRule="auto"/>
        <w:jc w:val="both"/>
        <w:rPr>
          <w:rFonts w:cstheme="minorHAnsi"/>
          <w:sz w:val="20"/>
          <w:szCs w:val="20"/>
        </w:rPr>
      </w:pPr>
      <w:r w:rsidRPr="006F2DD6">
        <w:rPr>
          <w:rFonts w:cstheme="minorHAnsi"/>
          <w:sz w:val="20"/>
          <w:szCs w:val="20"/>
        </w:rPr>
        <w:t>PolymerGNN: Δ</w:t>
      </w:r>
      <w:r w:rsidRPr="006F2DD6">
        <w:rPr>
          <w:rFonts w:cstheme="minorHAnsi"/>
          <w:i/>
          <w:iCs/>
          <w:sz w:val="20"/>
          <w:szCs w:val="20"/>
        </w:rPr>
        <w:t>MAE</w:t>
      </w:r>
      <w:r w:rsidRPr="006F2DD6">
        <w:rPr>
          <w:rFonts w:cstheme="minorHAnsi"/>
          <w:sz w:val="20"/>
          <w:szCs w:val="20"/>
        </w:rPr>
        <w:t>=5.4°C (moderate robustness)</w:t>
      </w:r>
    </w:p>
    <w:p w:rsidR="00C57922" w:rsidRPr="006F2DD6" w:rsidRDefault="00C57922" w:rsidP="00F02B89">
      <w:pPr>
        <w:numPr>
          <w:ilvl w:val="0"/>
          <w:numId w:val="33"/>
        </w:numPr>
        <w:spacing w:after="0" w:line="360" w:lineRule="auto"/>
        <w:jc w:val="both"/>
        <w:rPr>
          <w:rFonts w:cstheme="minorHAnsi"/>
          <w:sz w:val="20"/>
          <w:szCs w:val="20"/>
        </w:rPr>
      </w:pPr>
      <w:r w:rsidRPr="006F2DD6">
        <w:rPr>
          <w:rFonts w:cstheme="minorHAnsi"/>
          <w:sz w:val="20"/>
          <w:szCs w:val="20"/>
        </w:rPr>
        <w:t>PolymerTransformer: Δ</w:t>
      </w:r>
      <w:r w:rsidRPr="006F2DD6">
        <w:rPr>
          <w:rFonts w:cstheme="minorHAnsi"/>
          <w:i/>
          <w:iCs/>
          <w:sz w:val="20"/>
          <w:szCs w:val="20"/>
        </w:rPr>
        <w:t>MAE</w:t>
      </w:r>
      <w:r w:rsidRPr="006F2DD6">
        <w:rPr>
          <w:rFonts w:cstheme="minorHAnsi"/>
          <w:sz w:val="20"/>
          <w:szCs w:val="20"/>
        </w:rPr>
        <w:t>=4.6°C (strong generalization)</w:t>
      </w:r>
    </w:p>
    <w:p w:rsidR="00C57922" w:rsidRPr="006F2DD6" w:rsidRDefault="006F2DD6" w:rsidP="00F02B89">
      <w:pPr>
        <w:numPr>
          <w:ilvl w:val="0"/>
          <w:numId w:val="33"/>
        </w:numPr>
        <w:spacing w:after="0" w:line="360" w:lineRule="auto"/>
        <w:jc w:val="both"/>
        <w:rPr>
          <w:rFonts w:cstheme="minorHAnsi"/>
          <w:sz w:val="20"/>
          <w:szCs w:val="20"/>
        </w:rPr>
      </w:pPr>
      <w:r>
        <w:rPr>
          <w:rFonts w:cstheme="minorHAnsi"/>
          <w:sz w:val="20"/>
          <w:szCs w:val="20"/>
        </w:rPr>
        <w:t>Uni-</w:t>
      </w:r>
      <w:r w:rsidR="00C57922" w:rsidRPr="006F2DD6">
        <w:rPr>
          <w:rFonts w:cstheme="minorHAnsi"/>
          <w:sz w:val="20"/>
          <w:szCs w:val="20"/>
        </w:rPr>
        <w:t>Poly: Δ</w:t>
      </w:r>
      <w:r w:rsidR="00C57922" w:rsidRPr="006F2DD6">
        <w:rPr>
          <w:rFonts w:cstheme="minorHAnsi"/>
          <w:i/>
          <w:iCs/>
          <w:sz w:val="20"/>
          <w:szCs w:val="20"/>
        </w:rPr>
        <w:t>MAE</w:t>
      </w:r>
      <w:r w:rsidR="00C57922" w:rsidRPr="006F2DD6">
        <w:rPr>
          <w:rFonts w:cstheme="minorHAnsi"/>
          <w:sz w:val="20"/>
          <w:szCs w:val="20"/>
        </w:rPr>
        <w:t>=3.8°C (maximum resilience)</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A large scaffold gap signals a model likely to fail in real-world discovery where chemists explore unfamiliar space. Conversely, a shrinking gap reflects improved capture of underlying physics governing the glass transition.</w:t>
      </w:r>
    </w:p>
    <w:p w:rsidR="00C57922" w:rsidRPr="006F2DD6" w:rsidRDefault="00C57922" w:rsidP="004D0E2F">
      <w:pPr>
        <w:spacing w:after="0" w:line="360" w:lineRule="auto"/>
        <w:jc w:val="both"/>
        <w:rPr>
          <w:rFonts w:cstheme="minorHAnsi"/>
          <w:b/>
          <w:bCs/>
          <w:sz w:val="20"/>
          <w:szCs w:val="20"/>
        </w:rPr>
      </w:pPr>
      <w:r w:rsidRPr="006F2DD6">
        <w:rPr>
          <w:rFonts w:cstheme="minorHAnsi"/>
          <w:b/>
          <w:bCs/>
          <w:sz w:val="20"/>
          <w:szCs w:val="20"/>
        </w:rPr>
        <w:t>4. Benchmarking Implications for Polymer Discovery</w:t>
      </w:r>
    </w:p>
    <w:p w:rsidR="00C57922" w:rsidRPr="006C7800" w:rsidRDefault="00C57922" w:rsidP="006F2DD6">
      <w:pPr>
        <w:spacing w:after="0" w:line="360" w:lineRule="auto"/>
        <w:jc w:val="both"/>
        <w:rPr>
          <w:rFonts w:cstheme="minorHAnsi"/>
          <w:sz w:val="20"/>
          <w:szCs w:val="20"/>
        </w:rPr>
      </w:pPr>
      <w:r w:rsidRPr="006C7800">
        <w:rPr>
          <w:rFonts w:cstheme="minorHAnsi"/>
          <w:sz w:val="20"/>
          <w:szCs w:val="20"/>
        </w:rPr>
        <w:t xml:space="preserve">These findings show model performance is not intrinsic to architecture but tightly coupled to evaluation protocol. A model reporting </w:t>
      </w:r>
      <w:r w:rsidRPr="006C7800">
        <w:rPr>
          <w:rFonts w:cstheme="minorHAnsi"/>
          <w:i/>
          <w:iCs/>
          <w:sz w:val="20"/>
          <w:szCs w:val="20"/>
        </w:rPr>
        <w:t>MAE</w:t>
      </w:r>
      <w:r w:rsidRPr="006C7800">
        <w:rPr>
          <w:rFonts w:cstheme="minorHAnsi"/>
          <w:sz w:val="20"/>
          <w:szCs w:val="20"/>
        </w:rPr>
        <w:t xml:space="preserve">=5.4°C on a random split is less useful for discovery than one reporting </w:t>
      </w:r>
      <w:r w:rsidRPr="006C7800">
        <w:rPr>
          <w:rFonts w:cstheme="minorHAnsi"/>
          <w:i/>
          <w:iCs/>
          <w:sz w:val="20"/>
          <w:szCs w:val="20"/>
        </w:rPr>
        <w:t>MAE</w:t>
      </w:r>
      <w:r w:rsidRPr="006C7800">
        <w:rPr>
          <w:rFonts w:cstheme="minorHAnsi"/>
          <w:sz w:val="20"/>
          <w:szCs w:val="20"/>
        </w:rPr>
        <w:t>=9.2°C on a scaffold split, because only the latter demonstrates verified ability to navigate the "chemical unknown." To ensure reproducible, meaningful progress, polymer informatics must move beyond “SOTA chasing” on random splits. Adopting scaffold-based validation and explicitly reporting Δ</w:t>
      </w:r>
      <w:r w:rsidR="00443582">
        <w:rPr>
          <w:rFonts w:cstheme="minorHAnsi"/>
          <w:sz w:val="20"/>
          <w:szCs w:val="20"/>
        </w:rPr>
        <w:t>-</w:t>
      </w:r>
      <w:r w:rsidRPr="006C7800">
        <w:rPr>
          <w:rFonts w:cstheme="minorHAnsi"/>
          <w:sz w:val="20"/>
          <w:szCs w:val="20"/>
        </w:rPr>
        <w:t>metrics is essential for ensuring AI claims translate into reliable experimental leads. This aligns with the PIMRR framework, providing transparent, physically grounded generalizability assessment.</w:t>
      </w:r>
    </w:p>
    <w:p w:rsidR="00C57922" w:rsidRPr="00443582" w:rsidRDefault="00C57922" w:rsidP="00443582">
      <w:pPr>
        <w:spacing w:before="240" w:after="0" w:line="360" w:lineRule="auto"/>
        <w:jc w:val="both"/>
        <w:rPr>
          <w:rFonts w:cstheme="minorHAnsi"/>
          <w:b/>
          <w:bCs/>
        </w:rPr>
      </w:pPr>
      <w:r w:rsidRPr="00443582">
        <w:rPr>
          <w:rFonts w:cstheme="minorHAnsi"/>
          <w:b/>
          <w:bCs/>
        </w:rPr>
        <w:t>4.6 A Proposed Framework: The Polymer Informatics Minimum Reporting Requirements (PIMRR)</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A recurring failure is the "Reproducibility Gap." High-accuracy models often fail to generalize because critical variables (MWD, tacticity, thermal history) are treated as undocumented noise rather than essential signals. This erodes trust, wastes resources, and slows progress.</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To bridge this gap, we propose the Polymer Informatics Minimum Reporting Requirements (PIMRR): a community-focused framework establishing minimum standards for data and model reporting. PIMRR (see Table 11) is a concrete, actionable proposal. Its core principle is ensemble-aware reporting: mandatory disclosure of chemical and processing variables fundamentally dictating macromolecular behavior.</w:t>
      </w:r>
    </w:p>
    <w:p w:rsidR="00C57922" w:rsidRDefault="00C57922" w:rsidP="004D0E2F">
      <w:pPr>
        <w:spacing w:after="0" w:line="360" w:lineRule="auto"/>
        <w:jc w:val="both"/>
        <w:rPr>
          <w:rFonts w:cstheme="minorHAnsi"/>
          <w:sz w:val="20"/>
          <w:szCs w:val="20"/>
        </w:rPr>
      </w:pPr>
      <w:r w:rsidRPr="006C7800">
        <w:rPr>
          <w:rFonts w:cstheme="minorHAnsi"/>
          <w:sz w:val="20"/>
          <w:szCs w:val="20"/>
        </w:rPr>
        <w:t>The Polymer Informatics Minimum Reporting Requirements (PIMRR) Rationale: To enable reproducible, generalizable, and experimentally actionable machine learning in polymer science, researchers should adhere to the following minimum reporting standards for any publication involving data-driven models.</w:t>
      </w:r>
    </w:p>
    <w:p w:rsidR="00C717C2" w:rsidRDefault="00C717C2" w:rsidP="004D0E2F">
      <w:pPr>
        <w:spacing w:after="0" w:line="360" w:lineRule="auto"/>
        <w:jc w:val="both"/>
        <w:rPr>
          <w:rFonts w:cstheme="minorHAnsi"/>
          <w:sz w:val="20"/>
          <w:szCs w:val="20"/>
        </w:rPr>
      </w:pPr>
    </w:p>
    <w:tbl>
      <w:tblPr>
        <w:tblStyle w:val="PlainTable1"/>
        <w:tblW w:w="10288" w:type="dxa"/>
        <w:tblLook w:val="04A0" w:firstRow="1" w:lastRow="0" w:firstColumn="1" w:lastColumn="0" w:noHBand="0" w:noVBand="1"/>
      </w:tblPr>
      <w:tblGrid>
        <w:gridCol w:w="2070"/>
        <w:gridCol w:w="4350"/>
        <w:gridCol w:w="3868"/>
      </w:tblGrid>
      <w:tr w:rsidR="00C717C2" w:rsidRPr="00C717C2" w:rsidTr="005562ED">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0" w:type="auto"/>
            <w:hideMark/>
          </w:tcPr>
          <w:p w:rsidR="00C717C2" w:rsidRPr="00C717C2" w:rsidRDefault="00C717C2" w:rsidP="00C717C2">
            <w:pPr>
              <w:spacing w:line="276" w:lineRule="auto"/>
              <w:rPr>
                <w:rFonts w:cstheme="minorHAnsi"/>
                <w:sz w:val="20"/>
                <w:szCs w:val="20"/>
              </w:rPr>
            </w:pPr>
            <w:r w:rsidRPr="00C717C2">
              <w:rPr>
                <w:rFonts w:cstheme="minorHAnsi"/>
                <w:sz w:val="20"/>
                <w:szCs w:val="20"/>
              </w:rPr>
              <w:t>Category</w:t>
            </w:r>
          </w:p>
        </w:tc>
        <w:tc>
          <w:tcPr>
            <w:tcW w:w="0" w:type="auto"/>
            <w:hideMark/>
          </w:tcPr>
          <w:p w:rsidR="00C717C2" w:rsidRPr="00C717C2" w:rsidRDefault="00C717C2" w:rsidP="00C717C2">
            <w:pPr>
              <w:spacing w:line="276" w:lineRule="auto"/>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C717C2">
              <w:rPr>
                <w:rFonts w:cstheme="minorHAnsi"/>
                <w:sz w:val="20"/>
                <w:szCs w:val="20"/>
              </w:rPr>
              <w:t>Detailed Requirement</w:t>
            </w:r>
          </w:p>
        </w:tc>
        <w:tc>
          <w:tcPr>
            <w:tcW w:w="0" w:type="auto"/>
            <w:hideMark/>
          </w:tcPr>
          <w:p w:rsidR="00C717C2" w:rsidRPr="00C717C2" w:rsidRDefault="00C717C2" w:rsidP="00C717C2">
            <w:pPr>
              <w:spacing w:line="276" w:lineRule="auto"/>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C717C2">
              <w:rPr>
                <w:rFonts w:cstheme="minorHAnsi"/>
                <w:sz w:val="20"/>
                <w:szCs w:val="20"/>
              </w:rPr>
              <w:t>Physical &amp; Informatics Rationale</w:t>
            </w:r>
          </w:p>
        </w:tc>
      </w:tr>
      <w:tr w:rsidR="00C717C2" w:rsidRPr="00C717C2" w:rsidTr="00C717C2">
        <w:trPr>
          <w:cnfStyle w:val="000000100000" w:firstRow="0" w:lastRow="0" w:firstColumn="0" w:lastColumn="0" w:oddVBand="0" w:evenVBand="0" w:oddHBand="1" w:evenHBand="0" w:firstRowFirstColumn="0" w:firstRowLastColumn="0" w:lastRowFirstColumn="0" w:lastRowLastColumn="0"/>
          <w:trHeight w:val="1250"/>
        </w:trPr>
        <w:tc>
          <w:tcPr>
            <w:cnfStyle w:val="001000000000" w:firstRow="0" w:lastRow="0" w:firstColumn="1" w:lastColumn="0" w:oddVBand="0" w:evenVBand="0" w:oddHBand="0" w:evenHBand="0" w:firstRowFirstColumn="0" w:firstRowLastColumn="0" w:lastRowFirstColumn="0" w:lastRowLastColumn="0"/>
            <w:tcW w:w="0" w:type="auto"/>
            <w:hideMark/>
          </w:tcPr>
          <w:p w:rsidR="00C717C2" w:rsidRPr="00C717C2" w:rsidRDefault="00C717C2" w:rsidP="00C717C2">
            <w:pPr>
              <w:spacing w:line="276" w:lineRule="auto"/>
              <w:rPr>
                <w:rFonts w:cstheme="minorHAnsi"/>
                <w:b w:val="0"/>
                <w:bCs w:val="0"/>
                <w:sz w:val="20"/>
                <w:szCs w:val="20"/>
              </w:rPr>
            </w:pPr>
            <w:r w:rsidRPr="00C717C2">
              <w:rPr>
                <w:rStyle w:val="Strong"/>
                <w:rFonts w:cstheme="minorHAnsi"/>
                <w:b/>
                <w:bCs/>
                <w:sz w:val="20"/>
                <w:szCs w:val="20"/>
              </w:rPr>
              <w:t>1. Ensemble Characterization</w:t>
            </w:r>
          </w:p>
        </w:tc>
        <w:tc>
          <w:tcPr>
            <w:tcW w:w="0" w:type="auto"/>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717C2">
              <w:rPr>
                <w:rFonts w:cstheme="minorHAnsi"/>
                <w:sz w:val="20"/>
                <w:szCs w:val="20"/>
              </w:rPr>
              <w:t>Report full MWD (histogram/fit) </w:t>
            </w:r>
            <w:r w:rsidRPr="00C717C2">
              <w:rPr>
                <w:rStyle w:val="Strong"/>
                <w:rFonts w:cstheme="minorHAnsi"/>
                <w:sz w:val="20"/>
                <w:szCs w:val="20"/>
              </w:rPr>
              <w:t>or</w:t>
            </w:r>
            <w:r w:rsidRPr="00C717C2">
              <w:rPr>
                <w:rFonts w:cstheme="minorHAnsi"/>
                <w:sz w:val="20"/>
                <w:szCs w:val="20"/>
              </w:rPr>
              <w:t> M</w:t>
            </w:r>
            <w:r w:rsidRPr="00C717C2">
              <w:rPr>
                <w:rStyle w:val="ds-markdown-html"/>
                <w:rFonts w:cstheme="minorHAnsi"/>
                <w:sz w:val="20"/>
                <w:szCs w:val="20"/>
                <w:vertAlign w:val="subscript"/>
              </w:rPr>
              <w:t>n</w:t>
            </w:r>
            <w:r w:rsidRPr="00C717C2">
              <w:rPr>
                <w:rFonts w:cstheme="minorHAnsi"/>
                <w:sz w:val="20"/>
                <w:szCs w:val="20"/>
              </w:rPr>
              <w:t>,M</w:t>
            </w:r>
            <w:r w:rsidRPr="00C717C2">
              <w:rPr>
                <w:rFonts w:cstheme="minorHAnsi"/>
                <w:sz w:val="20"/>
                <w:szCs w:val="20"/>
                <w:vertAlign w:val="subscript"/>
              </w:rPr>
              <w:t>w</w:t>
            </w:r>
            <w:r w:rsidRPr="00C717C2">
              <w:rPr>
                <w:rFonts w:cstheme="minorHAnsi"/>
                <w:sz w:val="20"/>
                <w:szCs w:val="20"/>
              </w:rPr>
              <w:t xml:space="preserve">, and Đ </w:t>
            </w:r>
          </w:p>
        </w:tc>
        <w:tc>
          <w:tcPr>
            <w:tcW w:w="0" w:type="auto"/>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717C2">
              <w:rPr>
                <w:rFonts w:cstheme="minorHAnsi"/>
                <w:sz w:val="20"/>
                <w:szCs w:val="20"/>
              </w:rPr>
              <w:t>Bulk properties (e.g., viscosity, toughness) depend on the full chain population. Single-chain or average-M</w:t>
            </w:r>
            <w:r w:rsidRPr="00C717C2">
              <w:rPr>
                <w:rFonts w:cstheme="minorHAnsi"/>
                <w:sz w:val="20"/>
                <w:szCs w:val="20"/>
                <w:vertAlign w:val="subscript"/>
              </w:rPr>
              <w:t>W</w:t>
            </w:r>
            <w:r w:rsidRPr="00C717C2">
              <w:rPr>
                <w:rFonts w:cstheme="minorHAnsi"/>
                <w:sz w:val="20"/>
                <w:szCs w:val="20"/>
              </w:rPr>
              <w:t xml:space="preserve"> proxies systematically mislead.</w:t>
            </w:r>
          </w:p>
        </w:tc>
      </w:tr>
      <w:tr w:rsidR="00C717C2" w:rsidRPr="00C717C2" w:rsidTr="00C717C2">
        <w:trPr>
          <w:trHeight w:val="890"/>
        </w:trPr>
        <w:tc>
          <w:tcPr>
            <w:cnfStyle w:val="001000000000" w:firstRow="0" w:lastRow="0" w:firstColumn="1" w:lastColumn="0" w:oddVBand="0" w:evenVBand="0" w:oddHBand="0" w:evenHBand="0" w:firstRowFirstColumn="0" w:firstRowLastColumn="0" w:lastRowFirstColumn="0" w:lastRowLastColumn="0"/>
            <w:tcW w:w="0" w:type="auto"/>
            <w:hideMark/>
          </w:tcPr>
          <w:p w:rsidR="00C717C2" w:rsidRPr="00C717C2" w:rsidRDefault="00C717C2" w:rsidP="00C717C2">
            <w:pPr>
              <w:spacing w:line="276" w:lineRule="auto"/>
              <w:rPr>
                <w:rFonts w:cstheme="minorHAnsi"/>
                <w:b w:val="0"/>
                <w:bCs w:val="0"/>
                <w:sz w:val="20"/>
                <w:szCs w:val="20"/>
              </w:rPr>
            </w:pPr>
            <w:r w:rsidRPr="00C717C2">
              <w:rPr>
                <w:rStyle w:val="Strong"/>
                <w:rFonts w:cstheme="minorHAnsi"/>
                <w:b/>
                <w:bCs/>
                <w:sz w:val="20"/>
                <w:szCs w:val="20"/>
              </w:rPr>
              <w:lastRenderedPageBreak/>
              <w:t>2. Stereochemical &amp; Architectural Fidelity</w:t>
            </w:r>
          </w:p>
        </w:tc>
        <w:tc>
          <w:tcPr>
            <w:tcW w:w="0" w:type="auto"/>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717C2">
              <w:rPr>
                <w:rFonts w:cstheme="minorHAnsi"/>
                <w:sz w:val="20"/>
                <w:szCs w:val="20"/>
              </w:rPr>
              <w:t>Specify tacticity, regioregularity, branching density, and copolymer sequence distribution (random, block, gradient).</w:t>
            </w:r>
          </w:p>
        </w:tc>
        <w:tc>
          <w:tcPr>
            <w:tcW w:w="0" w:type="auto"/>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717C2">
              <w:rPr>
                <w:rFonts w:cstheme="minorHAnsi"/>
                <w:sz w:val="20"/>
                <w:szCs w:val="20"/>
              </w:rPr>
              <w:t>Stereochemistry and topology can shift Tg by &gt;50°C and dictate self-assembly. "Blind" models cannot capture these effects.</w:t>
            </w:r>
          </w:p>
        </w:tc>
      </w:tr>
      <w:tr w:rsidR="00C717C2" w:rsidRPr="00C717C2" w:rsidTr="00C717C2">
        <w:trPr>
          <w:cnfStyle w:val="000000100000" w:firstRow="0" w:lastRow="0" w:firstColumn="0" w:lastColumn="0" w:oddVBand="0" w:evenVBand="0" w:oddHBand="1" w:evenHBand="0" w:firstRowFirstColumn="0" w:firstRowLastColumn="0" w:lastRowFirstColumn="0" w:lastRowLastColumn="0"/>
          <w:trHeight w:val="953"/>
        </w:trPr>
        <w:tc>
          <w:tcPr>
            <w:cnfStyle w:val="001000000000" w:firstRow="0" w:lastRow="0" w:firstColumn="1" w:lastColumn="0" w:oddVBand="0" w:evenVBand="0" w:oddHBand="0" w:evenHBand="0" w:firstRowFirstColumn="0" w:firstRowLastColumn="0" w:lastRowFirstColumn="0" w:lastRowLastColumn="0"/>
            <w:tcW w:w="0" w:type="auto"/>
            <w:hideMark/>
          </w:tcPr>
          <w:p w:rsidR="00C717C2" w:rsidRPr="00C717C2" w:rsidRDefault="00C717C2" w:rsidP="00C717C2">
            <w:pPr>
              <w:spacing w:line="276" w:lineRule="auto"/>
              <w:rPr>
                <w:rFonts w:cstheme="minorHAnsi"/>
                <w:b w:val="0"/>
                <w:bCs w:val="0"/>
                <w:sz w:val="20"/>
                <w:szCs w:val="20"/>
              </w:rPr>
            </w:pPr>
            <w:r w:rsidRPr="00C717C2">
              <w:rPr>
                <w:rStyle w:val="Strong"/>
                <w:rFonts w:cstheme="minorHAnsi"/>
                <w:b/>
                <w:bCs/>
                <w:sz w:val="20"/>
                <w:szCs w:val="20"/>
              </w:rPr>
              <w:t>3. Processing History</w:t>
            </w:r>
          </w:p>
        </w:tc>
        <w:tc>
          <w:tcPr>
            <w:tcW w:w="0" w:type="auto"/>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717C2">
              <w:rPr>
                <w:rFonts w:cstheme="minorHAnsi"/>
                <w:sz w:val="20"/>
                <w:szCs w:val="20"/>
              </w:rPr>
              <w:t>Document solvent, concentration, thermal history (cooling/annealing rates), and shear history.</w:t>
            </w:r>
          </w:p>
        </w:tc>
        <w:tc>
          <w:tcPr>
            <w:tcW w:w="0" w:type="auto"/>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717C2">
              <w:rPr>
                <w:rFonts w:cstheme="minorHAnsi"/>
                <w:sz w:val="20"/>
                <w:szCs w:val="20"/>
              </w:rPr>
              <w:t>Polymers are non-equilibrium materials. Processing "freezes in" the morphology; history is a primary descriptor, not noise.</w:t>
            </w:r>
          </w:p>
        </w:tc>
      </w:tr>
      <w:tr w:rsidR="00C717C2" w:rsidRPr="00C717C2" w:rsidTr="00C717C2">
        <w:trPr>
          <w:trHeight w:val="1187"/>
        </w:trPr>
        <w:tc>
          <w:tcPr>
            <w:cnfStyle w:val="001000000000" w:firstRow="0" w:lastRow="0" w:firstColumn="1" w:lastColumn="0" w:oddVBand="0" w:evenVBand="0" w:oddHBand="0" w:evenHBand="0" w:firstRowFirstColumn="0" w:firstRowLastColumn="0" w:lastRowFirstColumn="0" w:lastRowLastColumn="0"/>
            <w:tcW w:w="0" w:type="auto"/>
            <w:hideMark/>
          </w:tcPr>
          <w:p w:rsidR="00C717C2" w:rsidRPr="00C717C2" w:rsidRDefault="00C717C2" w:rsidP="00C717C2">
            <w:pPr>
              <w:spacing w:line="276" w:lineRule="auto"/>
              <w:rPr>
                <w:rFonts w:cstheme="minorHAnsi"/>
                <w:b w:val="0"/>
                <w:bCs w:val="0"/>
                <w:sz w:val="20"/>
                <w:szCs w:val="20"/>
              </w:rPr>
            </w:pPr>
            <w:r w:rsidRPr="00C717C2">
              <w:rPr>
                <w:rStyle w:val="Strong"/>
                <w:rFonts w:cstheme="minorHAnsi"/>
                <w:b/>
                <w:bCs/>
                <w:sz w:val="20"/>
                <w:szCs w:val="20"/>
              </w:rPr>
              <w:t>4. Data Splitting Strategy</w:t>
            </w:r>
          </w:p>
        </w:tc>
        <w:tc>
          <w:tcPr>
            <w:tcW w:w="0" w:type="auto"/>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717C2">
              <w:rPr>
                <w:rFonts w:cstheme="minorHAnsi"/>
                <w:sz w:val="20"/>
                <w:szCs w:val="20"/>
              </w:rPr>
              <w:t>Explicitly state and justify the splitting method (e.g., Scaffold, Leave-Family-Out, Temporal). Provide split indices/code.</w:t>
            </w:r>
          </w:p>
        </w:tc>
        <w:tc>
          <w:tcPr>
            <w:tcW w:w="0" w:type="auto"/>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717C2">
              <w:rPr>
                <w:rFonts w:cstheme="minorHAnsi"/>
                <w:sz w:val="20"/>
                <w:szCs w:val="20"/>
              </w:rPr>
              <w:t>Random splits inflate performance via scaffold leakage. Purposeful splits are required to test true chemical generalization.</w:t>
            </w:r>
          </w:p>
        </w:tc>
      </w:tr>
      <w:tr w:rsidR="00C717C2" w:rsidRPr="00C717C2" w:rsidTr="00C717C2">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0" w:type="auto"/>
            <w:hideMark/>
          </w:tcPr>
          <w:p w:rsidR="00C717C2" w:rsidRPr="00C717C2" w:rsidRDefault="00C717C2" w:rsidP="00C717C2">
            <w:pPr>
              <w:spacing w:line="276" w:lineRule="auto"/>
              <w:rPr>
                <w:rFonts w:cstheme="minorHAnsi"/>
                <w:b w:val="0"/>
                <w:bCs w:val="0"/>
                <w:sz w:val="20"/>
                <w:szCs w:val="20"/>
              </w:rPr>
            </w:pPr>
            <w:r w:rsidRPr="00C717C2">
              <w:rPr>
                <w:rStyle w:val="Strong"/>
                <w:rFonts w:cstheme="minorHAnsi"/>
                <w:b/>
                <w:bCs/>
                <w:sz w:val="20"/>
                <w:szCs w:val="20"/>
              </w:rPr>
              <w:t>5. Uncertainty Quantification</w:t>
            </w:r>
          </w:p>
        </w:tc>
        <w:tc>
          <w:tcPr>
            <w:tcW w:w="0" w:type="auto"/>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717C2">
              <w:rPr>
                <w:rFonts w:cstheme="minorHAnsi"/>
                <w:sz w:val="20"/>
                <w:szCs w:val="20"/>
              </w:rPr>
              <w:t>Report prediction intervals (e.g., 95% CI) and calibration metrics (ECE, MCE) for all probabilistic outputs.</w:t>
            </w:r>
          </w:p>
        </w:tc>
        <w:tc>
          <w:tcPr>
            <w:tcW w:w="0" w:type="auto"/>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717C2">
              <w:rPr>
                <w:rFonts w:cstheme="minorHAnsi"/>
                <w:sz w:val="20"/>
                <w:szCs w:val="20"/>
              </w:rPr>
              <w:t>Essential for experimental triage. Quantifies the "trust zone" of predictions for guiding synthesis.</w:t>
            </w:r>
          </w:p>
        </w:tc>
      </w:tr>
      <w:tr w:rsidR="00C717C2" w:rsidRPr="00C717C2" w:rsidTr="00C717C2">
        <w:trPr>
          <w:trHeight w:val="863"/>
        </w:trPr>
        <w:tc>
          <w:tcPr>
            <w:cnfStyle w:val="001000000000" w:firstRow="0" w:lastRow="0" w:firstColumn="1" w:lastColumn="0" w:oddVBand="0" w:evenVBand="0" w:oddHBand="0" w:evenHBand="0" w:firstRowFirstColumn="0" w:firstRowLastColumn="0" w:lastRowFirstColumn="0" w:lastRowLastColumn="0"/>
            <w:tcW w:w="0" w:type="auto"/>
            <w:hideMark/>
          </w:tcPr>
          <w:p w:rsidR="00C717C2" w:rsidRPr="00C717C2" w:rsidRDefault="00C717C2" w:rsidP="00C717C2">
            <w:pPr>
              <w:spacing w:line="276" w:lineRule="auto"/>
              <w:rPr>
                <w:rFonts w:cstheme="minorHAnsi"/>
                <w:b w:val="0"/>
                <w:bCs w:val="0"/>
                <w:sz w:val="20"/>
                <w:szCs w:val="20"/>
              </w:rPr>
            </w:pPr>
            <w:r w:rsidRPr="00C717C2">
              <w:rPr>
                <w:rStyle w:val="Strong"/>
                <w:rFonts w:cstheme="minorHAnsi"/>
                <w:b/>
                <w:bCs/>
                <w:sz w:val="20"/>
                <w:szCs w:val="20"/>
              </w:rPr>
              <w:t>6. Algorithmic &amp; Data Provenance</w:t>
            </w:r>
          </w:p>
        </w:tc>
        <w:tc>
          <w:tcPr>
            <w:tcW w:w="0" w:type="auto"/>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717C2">
              <w:rPr>
                <w:rFonts w:cstheme="minorHAnsi"/>
                <w:sz w:val="20"/>
                <w:szCs w:val="20"/>
              </w:rPr>
              <w:t>Public release of: (a) code &amp; trained weights; (b) exact data splits; (c) software environment (e.g., Conda environment.yml, Dockerfile).</w:t>
            </w:r>
          </w:p>
        </w:tc>
        <w:tc>
          <w:tcPr>
            <w:tcW w:w="0" w:type="auto"/>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717C2">
              <w:rPr>
                <w:rFonts w:cstheme="minorHAnsi"/>
                <w:sz w:val="20"/>
                <w:szCs w:val="20"/>
              </w:rPr>
              <w:t>Eliminates the "black box" and ensures computational reproducibility across labs and over time.</w:t>
            </w:r>
          </w:p>
        </w:tc>
      </w:tr>
    </w:tbl>
    <w:p w:rsidR="00C717C2" w:rsidRPr="006C7800" w:rsidRDefault="00C717C2" w:rsidP="004D0E2F">
      <w:pPr>
        <w:spacing w:after="0" w:line="360" w:lineRule="auto"/>
        <w:jc w:val="both"/>
        <w:rPr>
          <w:rFonts w:cstheme="minorHAnsi"/>
          <w:sz w:val="20"/>
          <w:szCs w:val="20"/>
        </w:rPr>
      </w:pPr>
      <w:r w:rsidRPr="00DE4DC4">
        <w:rPr>
          <w:rFonts w:asciiTheme="majorBidi" w:hAnsiTheme="majorBidi" w:cstheme="majorBidi"/>
          <w:noProof/>
        </w:rPr>
        <mc:AlternateContent>
          <mc:Choice Requires="wps">
            <w:drawing>
              <wp:anchor distT="0" distB="0" distL="114300" distR="114300" simplePos="0" relativeHeight="251689984" behindDoc="0" locked="0" layoutInCell="1" allowOverlap="1" wp14:anchorId="277558D1" wp14:editId="5BDD18C0">
                <wp:simplePos x="0" y="0"/>
                <wp:positionH relativeFrom="margin">
                  <wp:align>left</wp:align>
                </wp:positionH>
                <wp:positionV relativeFrom="paragraph">
                  <wp:posOffset>67945</wp:posOffset>
                </wp:positionV>
                <wp:extent cx="6482715" cy="381000"/>
                <wp:effectExtent l="0" t="0" r="0" b="0"/>
                <wp:wrapNone/>
                <wp:docPr id="31" name="Text Box 31"/>
                <wp:cNvGraphicFramePr/>
                <a:graphic xmlns:a="http://schemas.openxmlformats.org/drawingml/2006/main">
                  <a:graphicData uri="http://schemas.microsoft.com/office/word/2010/wordprocessingShape">
                    <wps:wsp>
                      <wps:cNvSpPr txBox="1"/>
                      <wps:spPr>
                        <a:xfrm rot="10800000" flipV="1">
                          <a:off x="0" y="0"/>
                          <a:ext cx="6482715" cy="381000"/>
                        </a:xfrm>
                        <a:prstGeom prst="rect">
                          <a:avLst/>
                        </a:prstGeom>
                        <a:solidFill>
                          <a:schemeClr val="lt1"/>
                        </a:solidFill>
                        <a:ln w="6350">
                          <a:noFill/>
                        </a:ln>
                      </wps:spPr>
                      <wps:txbx>
                        <w:txbxContent>
                          <w:p w:rsidR="005562ED" w:rsidRPr="00C717C2" w:rsidRDefault="005562ED" w:rsidP="00C717C2">
                            <w:pPr>
                              <w:rPr>
                                <w:rFonts w:cstheme="minorHAnsi"/>
                                <w:sz w:val="18"/>
                                <w:szCs w:val="18"/>
                              </w:rPr>
                            </w:pPr>
                            <w:r w:rsidRPr="00C717C2">
                              <w:rPr>
                                <w:rFonts w:eastAsia="Times New Roman" w:cstheme="minorHAnsi"/>
                                <w:b/>
                                <w:bCs/>
                                <w:sz w:val="18"/>
                                <w:szCs w:val="18"/>
                              </w:rPr>
                              <w:t xml:space="preserve">Table 11: </w:t>
                            </w:r>
                            <w:r w:rsidRPr="00C717C2">
                              <w:rPr>
                                <w:rFonts w:eastAsia="Times New Roman" w:cstheme="minorHAnsi"/>
                                <w:sz w:val="18"/>
                                <w:szCs w:val="18"/>
                              </w:rPr>
                              <w:t>The Polymer Informatics Minimum Reporting Requirements (PIMRR). An original, multi-scale framework for ensemble-aware reporting, designed to bridge the reproducibility gap and ensure physical fidelity in macromolecular machine 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558D1" id="Text Box 31" o:spid="_x0000_s1040" type="#_x0000_t202" style="position:absolute;left:0;text-align:left;margin-left:0;margin-top:5.35pt;width:510.45pt;height:30pt;rotation:180;flip:y;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8QxVAIAAJwEAAAOAAAAZHJzL2Uyb0RvYy54bWysVE1v2zAMvQ/YfxB0X22naZsFcYqsRYcB&#10;RVsg3XpWZDkxIIuapMTufv2e5Ljrup2G+SBQ5BM/HkkvLvtWs4NyviFT8uIk50wZSVVjtiX/+njz&#10;YcaZD8JUQpNRJX9Wnl8u379bdHauJrQjXSnH4MT4eWdLvgvBzrPMy51qhT8hqwyMNblWBFzdNquc&#10;6OC91dkkz8+zjlxlHUnlPbTXg5Evk/+6VjLc17VXgemSI7eQTpfOTTyz5ULMt07YXSOPaYh/yKIV&#10;jUHQF1fXIgi2d80frtpGOvJUhxNJbUZ13UiVakA1Rf6mmvVOWJVqATnevtDk/59beXd4cKypSn5a&#10;cGZEix49qj6wT9QzqMBPZ/0csLUFMPTQo8+j3kMZy+5r1zJHoLfIZ3n8OKt1Y79FbASgUoaHUD+/&#10;0B7DSCjPp7PJRXHGmYTtdFbE14ibDW7ja+t8+KyoZVEouUNbk1dxuPVhgI6QCPekm+qm0Tpd4iip&#10;K+3YQWAIdEjJw/lvKG1Yh0xOz/Lk2FB8PnjWBrlEEoZioxT6TZ9IK6YjExuqnkFQ4gBVeitvGiR7&#10;K3x4EA4zBSX2JNzjqDUhGB0lznbkfvxNH/FoNaycdZjRkvvve+EUZ/qLwRB8LKZTuA3pMj27mODi&#10;Xls2ry1m314RGECfkV0SIz7oUawdtU9Yp1WMCpMwErFLHkbxKgybg3WUarVKIIyxFeHWrK0cex1b&#10;8dg/CWeP/Qro9B2N0yzmb9o2YGOvDK32geom9TQSPbB65B8rkKbiuK5xx17fE+rXT2X5EwAA//8D&#10;AFBLAwQUAAYACAAAACEAzRQ6BtsAAAAHAQAADwAAAGRycy9kb3ducmV2LnhtbEyPwU7DMBBE70j8&#10;g7VI3KidHmgJcaqChMoJqSnK2Y2XOGq8jmK3Sf+e7QmOM7OaeVtsZt+LC46xC6QhWygQSE2wHbUa&#10;vg8fT2sQMRmypg+EGq4YYVPe3xUmt2GiPV6q1AouoZgbDS6lIZcyNg69iYswIHH2E0ZvEsuxlXY0&#10;E5f7Xi6VepbedMQLzgz47rA5VWevocrqdVZ/NU7uu/g5jcOufrvutH58mLevIBLO6e8YbviMDiUz&#10;HcOZbBS9Bn4ksatWIG6pWqoXEEcNK3ZkWcj//OUvAAAA//8DAFBLAQItABQABgAIAAAAIQC2gziS&#10;/gAAAOEBAAATAAAAAAAAAAAAAAAAAAAAAABbQ29udGVudF9UeXBlc10ueG1sUEsBAi0AFAAGAAgA&#10;AAAhADj9If/WAAAAlAEAAAsAAAAAAAAAAAAAAAAALwEAAF9yZWxzLy5yZWxzUEsBAi0AFAAGAAgA&#10;AAAhAF5HxDFUAgAAnAQAAA4AAAAAAAAAAAAAAAAALgIAAGRycy9lMm9Eb2MueG1sUEsBAi0AFAAG&#10;AAgAAAAhAM0UOgbbAAAABwEAAA8AAAAAAAAAAAAAAAAArgQAAGRycy9kb3ducmV2LnhtbFBLBQYA&#10;AAAABAAEAPMAAAC2BQAAAAA=&#10;" fillcolor="white [3201]" stroked="f" strokeweight=".5pt">
                <v:textbox>
                  <w:txbxContent>
                    <w:p w:rsidR="005562ED" w:rsidRPr="00C717C2" w:rsidRDefault="005562ED" w:rsidP="00C717C2">
                      <w:pPr>
                        <w:rPr>
                          <w:rFonts w:cstheme="minorHAnsi"/>
                          <w:sz w:val="18"/>
                          <w:szCs w:val="18"/>
                        </w:rPr>
                      </w:pPr>
                      <w:r w:rsidRPr="00C717C2">
                        <w:rPr>
                          <w:rFonts w:eastAsia="Times New Roman" w:cstheme="minorHAnsi"/>
                          <w:b/>
                          <w:bCs/>
                          <w:sz w:val="18"/>
                          <w:szCs w:val="18"/>
                        </w:rPr>
                        <w:t xml:space="preserve">Table 11: </w:t>
                      </w:r>
                      <w:r w:rsidRPr="00C717C2">
                        <w:rPr>
                          <w:rFonts w:eastAsia="Times New Roman" w:cstheme="minorHAnsi"/>
                          <w:sz w:val="18"/>
                          <w:szCs w:val="18"/>
                        </w:rPr>
                        <w:t>The Polymer Informatics Minimum Reporting Requirements (PIMRR). An original, multi-scale framework for ensemble-aware reporting, designed to bridge the reproducibility gap and ensure physical fidelity in macromolecular machine learning.</w:t>
                      </w:r>
                    </w:p>
                  </w:txbxContent>
                </v:textbox>
                <w10:wrap anchorx="margin"/>
              </v:shape>
            </w:pict>
          </mc:Fallback>
        </mc:AlternateContent>
      </w:r>
    </w:p>
    <w:p w:rsidR="00C717C2" w:rsidRDefault="00C717C2" w:rsidP="004D0E2F">
      <w:pPr>
        <w:spacing w:after="0" w:line="360" w:lineRule="auto"/>
        <w:jc w:val="both"/>
        <w:rPr>
          <w:rFonts w:cstheme="minorHAnsi"/>
          <w:sz w:val="20"/>
          <w:szCs w:val="20"/>
        </w:rPr>
      </w:pPr>
    </w:p>
    <w:p w:rsidR="00C717C2" w:rsidRDefault="00C717C2" w:rsidP="004D0E2F">
      <w:pPr>
        <w:spacing w:after="0" w:line="360" w:lineRule="auto"/>
        <w:jc w:val="both"/>
        <w:rPr>
          <w:rFonts w:cstheme="minorHAnsi"/>
          <w:sz w:val="20"/>
          <w:szCs w:val="20"/>
        </w:rPr>
      </w:pP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We propose PIMRR as a starting point for community standardization. Adherence transforms polymer informatics from isolated accuracy claims into robust, cumulative, collaborative science.</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Implementation and Impact: Adhering to PIMRR achieves three critical shifts:</w:t>
      </w:r>
    </w:p>
    <w:p w:rsidR="00C57922" w:rsidRPr="006C7800" w:rsidRDefault="00C57922" w:rsidP="004D0E2F">
      <w:pPr>
        <w:numPr>
          <w:ilvl w:val="0"/>
          <w:numId w:val="34"/>
        </w:numPr>
        <w:spacing w:after="0" w:line="360" w:lineRule="auto"/>
        <w:jc w:val="both"/>
        <w:rPr>
          <w:rFonts w:cstheme="minorHAnsi"/>
          <w:sz w:val="20"/>
          <w:szCs w:val="20"/>
        </w:rPr>
      </w:pPr>
      <w:r w:rsidRPr="006C7800">
        <w:rPr>
          <w:rFonts w:cstheme="minorHAnsi"/>
          <w:sz w:val="20"/>
          <w:szCs w:val="20"/>
        </w:rPr>
        <w:t>From Black Box to Transparent Workflow: Mandatory code and environment sharing eliminates reproducibility barriers.</w:t>
      </w:r>
    </w:p>
    <w:p w:rsidR="00C57922" w:rsidRPr="006C7800" w:rsidRDefault="00C57922" w:rsidP="004D0E2F">
      <w:pPr>
        <w:numPr>
          <w:ilvl w:val="0"/>
          <w:numId w:val="34"/>
        </w:numPr>
        <w:spacing w:after="0" w:line="360" w:lineRule="auto"/>
        <w:jc w:val="both"/>
        <w:rPr>
          <w:rFonts w:cstheme="minorHAnsi"/>
          <w:sz w:val="20"/>
          <w:szCs w:val="20"/>
        </w:rPr>
      </w:pPr>
      <w:r w:rsidRPr="006C7800">
        <w:rPr>
          <w:rFonts w:cstheme="minorHAnsi"/>
          <w:sz w:val="20"/>
          <w:szCs w:val="20"/>
        </w:rPr>
        <w:t>From Point Estimates to Ensemble-Aware Predictions: Requiring MWD and history forces models to grapple with real polymer physics.</w:t>
      </w:r>
    </w:p>
    <w:p w:rsidR="00C57922" w:rsidRPr="006C7800" w:rsidRDefault="00C57922" w:rsidP="004D0E2F">
      <w:pPr>
        <w:numPr>
          <w:ilvl w:val="0"/>
          <w:numId w:val="34"/>
        </w:numPr>
        <w:spacing w:after="0" w:line="360" w:lineRule="auto"/>
        <w:jc w:val="both"/>
        <w:rPr>
          <w:rFonts w:cstheme="minorHAnsi"/>
          <w:sz w:val="20"/>
          <w:szCs w:val="20"/>
        </w:rPr>
      </w:pPr>
      <w:r w:rsidRPr="006C7800">
        <w:rPr>
          <w:rFonts w:cstheme="minorHAnsi"/>
          <w:sz w:val="20"/>
          <w:szCs w:val="20"/>
        </w:rPr>
        <w:t>From Academic Metrics to Experimental Actionability: Uncertainty quantification [69] and rigorous splitting make computational predictions trustworthy guides for laboratory synthesis.</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PIMRR is not a final dictate but an incitement and practical tool to raise reporting baseline quality. Adoption would accelerate the field by ensuring reported progress is real, reproducible, and useful for advancing polymer science and engineering.</w:t>
      </w:r>
    </w:p>
    <w:p w:rsidR="00C57922" w:rsidRPr="00443582" w:rsidRDefault="00C57922" w:rsidP="00F93044">
      <w:pPr>
        <w:spacing w:before="240" w:after="0" w:line="360" w:lineRule="auto"/>
        <w:jc w:val="both"/>
        <w:rPr>
          <w:rFonts w:cstheme="minorHAnsi"/>
          <w:b/>
          <w:bCs/>
        </w:rPr>
      </w:pPr>
      <w:r w:rsidRPr="00443582">
        <w:rPr>
          <w:rFonts w:cstheme="minorHAnsi"/>
          <w:b/>
          <w:bCs/>
        </w:rPr>
        <w:t>4.7 Summary: Pitfalls, Corrections, and the Path Forward</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Transitioning polymer informatics from exploratory discipline to reliable discovery engine requires a shift in measuring success. Table 12 summarizes common methodological pitfalls alongside corrective best practices.</w:t>
      </w:r>
    </w:p>
    <w:p w:rsidR="00C717C2" w:rsidRDefault="00C717C2" w:rsidP="004D0E2F">
      <w:pPr>
        <w:spacing w:after="0" w:line="360" w:lineRule="auto"/>
        <w:jc w:val="both"/>
        <w:rPr>
          <w:rFonts w:cstheme="minorHAnsi"/>
          <w:b/>
          <w:bCs/>
          <w:sz w:val="20"/>
          <w:szCs w:val="20"/>
        </w:rPr>
      </w:pPr>
    </w:p>
    <w:tbl>
      <w:tblPr>
        <w:tblStyle w:val="PlainTable1"/>
        <w:tblW w:w="0" w:type="auto"/>
        <w:tblLook w:val="04A0" w:firstRow="1" w:lastRow="0" w:firstColumn="1" w:lastColumn="0" w:noHBand="0" w:noVBand="1"/>
      </w:tblPr>
      <w:tblGrid>
        <w:gridCol w:w="2490"/>
        <w:gridCol w:w="2515"/>
        <w:gridCol w:w="4345"/>
      </w:tblGrid>
      <w:tr w:rsidR="00C717C2" w:rsidRPr="00C717C2" w:rsidTr="005562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717C2" w:rsidRPr="00C717C2" w:rsidRDefault="00C717C2" w:rsidP="00C717C2">
            <w:pPr>
              <w:spacing w:line="276" w:lineRule="auto"/>
              <w:jc w:val="center"/>
              <w:rPr>
                <w:rFonts w:eastAsia="Times New Roman" w:cstheme="minorHAnsi"/>
                <w:sz w:val="20"/>
                <w:szCs w:val="20"/>
              </w:rPr>
            </w:pPr>
            <w:r w:rsidRPr="00C717C2">
              <w:rPr>
                <w:rFonts w:eastAsia="Times New Roman" w:cstheme="minorHAnsi"/>
                <w:sz w:val="20"/>
                <w:szCs w:val="20"/>
              </w:rPr>
              <w:t>Pitfall </w:t>
            </w:r>
          </w:p>
        </w:tc>
        <w:tc>
          <w:tcPr>
            <w:tcW w:w="0" w:type="auto"/>
            <w:hideMark/>
          </w:tcPr>
          <w:p w:rsidR="00C717C2" w:rsidRPr="00C717C2" w:rsidRDefault="00C717C2" w:rsidP="00C717C2">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Consequence</w:t>
            </w:r>
          </w:p>
        </w:tc>
        <w:tc>
          <w:tcPr>
            <w:tcW w:w="0" w:type="auto"/>
            <w:hideMark/>
          </w:tcPr>
          <w:p w:rsidR="00C717C2" w:rsidRPr="00C717C2" w:rsidRDefault="00C717C2" w:rsidP="00C717C2">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Corrective Best Practice</w:t>
            </w:r>
          </w:p>
        </w:tc>
      </w:tr>
      <w:tr w:rsidR="00C717C2" w:rsidRPr="00C717C2" w:rsidTr="005562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717C2" w:rsidRPr="00C717C2" w:rsidRDefault="00C717C2" w:rsidP="00C717C2">
            <w:pPr>
              <w:spacing w:line="276" w:lineRule="auto"/>
              <w:rPr>
                <w:rFonts w:eastAsia="Times New Roman" w:cstheme="minorHAnsi"/>
                <w:sz w:val="20"/>
                <w:szCs w:val="20"/>
              </w:rPr>
            </w:pPr>
            <w:r w:rsidRPr="00C717C2">
              <w:rPr>
                <w:rFonts w:eastAsia="Times New Roman" w:cstheme="minorHAnsi"/>
                <w:sz w:val="20"/>
                <w:szCs w:val="20"/>
              </w:rPr>
              <w:lastRenderedPageBreak/>
              <w:t>Random splits on scaffold-rich data</w:t>
            </w:r>
          </w:p>
        </w:tc>
        <w:tc>
          <w:tcPr>
            <w:tcW w:w="0" w:type="auto"/>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Inflated, non-generalizable performance</w:t>
            </w:r>
          </w:p>
        </w:tc>
        <w:tc>
          <w:tcPr>
            <w:tcW w:w="0" w:type="auto"/>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 xml:space="preserve">Use </w:t>
            </w:r>
            <w:r w:rsidRPr="00C717C2">
              <w:rPr>
                <w:rFonts w:eastAsia="Times New Roman" w:cstheme="minorHAnsi"/>
                <w:b/>
                <w:bCs/>
                <w:sz w:val="20"/>
                <w:szCs w:val="20"/>
              </w:rPr>
              <w:t>Scaffold splits</w:t>
            </w:r>
            <w:r w:rsidRPr="00C717C2">
              <w:rPr>
                <w:rFonts w:eastAsia="Times New Roman" w:cstheme="minorHAnsi"/>
                <w:sz w:val="20"/>
                <w:szCs w:val="20"/>
              </w:rPr>
              <w:t>; report exact indices and train-test chemical distance.</w:t>
            </w:r>
          </w:p>
        </w:tc>
      </w:tr>
      <w:tr w:rsidR="00C717C2" w:rsidRPr="00C717C2" w:rsidTr="005562ED">
        <w:tc>
          <w:tcPr>
            <w:cnfStyle w:val="001000000000" w:firstRow="0" w:lastRow="0" w:firstColumn="1" w:lastColumn="0" w:oddVBand="0" w:evenVBand="0" w:oddHBand="0" w:evenHBand="0" w:firstRowFirstColumn="0" w:firstRowLastColumn="0" w:lastRowFirstColumn="0" w:lastRowLastColumn="0"/>
            <w:tcW w:w="0" w:type="auto"/>
            <w:hideMark/>
          </w:tcPr>
          <w:p w:rsidR="00C717C2" w:rsidRPr="00C717C2" w:rsidRDefault="00C717C2" w:rsidP="00C717C2">
            <w:pPr>
              <w:spacing w:line="276" w:lineRule="auto"/>
              <w:rPr>
                <w:rFonts w:eastAsia="Times New Roman" w:cstheme="minorHAnsi"/>
                <w:sz w:val="20"/>
                <w:szCs w:val="20"/>
              </w:rPr>
            </w:pPr>
            <w:r w:rsidRPr="00C717C2">
              <w:rPr>
                <w:rFonts w:eastAsia="Times New Roman" w:cstheme="minorHAnsi"/>
                <w:sz w:val="20"/>
                <w:szCs w:val="20"/>
              </w:rPr>
              <w:t xml:space="preserve">Reporting only </w:t>
            </w:r>
            <w:r w:rsidRPr="00C717C2">
              <w:rPr>
                <w:rFonts w:ascii="Cambria Math" w:eastAsia="Times New Roman" w:hAnsi="Cambria Math" w:cs="Cambria Math"/>
                <w:sz w:val="20"/>
                <w:szCs w:val="20"/>
              </w:rPr>
              <w:t>𝑅</w:t>
            </w:r>
            <w:r w:rsidRPr="00C717C2">
              <w:rPr>
                <w:rFonts w:eastAsia="Times New Roman" w:cstheme="minorHAnsi"/>
                <w:sz w:val="20"/>
                <w:szCs w:val="20"/>
                <w:vertAlign w:val="superscript"/>
              </w:rPr>
              <w:t>2</w:t>
            </w:r>
          </w:p>
        </w:tc>
        <w:tc>
          <w:tcPr>
            <w:tcW w:w="0" w:type="auto"/>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Masks systematic errors and performance drift</w:t>
            </w:r>
          </w:p>
        </w:tc>
        <w:tc>
          <w:tcPr>
            <w:tcW w:w="0" w:type="auto"/>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 xml:space="preserve">Report </w:t>
            </w:r>
            <w:r w:rsidRPr="00C717C2">
              <w:rPr>
                <w:rFonts w:eastAsia="Times New Roman" w:cstheme="minorHAnsi"/>
                <w:b/>
                <w:bCs/>
                <w:sz w:val="20"/>
                <w:szCs w:val="20"/>
              </w:rPr>
              <w:t>RMSE/MAE with units</w:t>
            </w:r>
            <w:r w:rsidRPr="00C717C2">
              <w:rPr>
                <w:rFonts w:eastAsia="Times New Roman" w:cstheme="minorHAnsi"/>
                <w:sz w:val="20"/>
                <w:szCs w:val="20"/>
              </w:rPr>
              <w:t xml:space="preserve"> and perform </w:t>
            </w:r>
            <w:r w:rsidRPr="00C717C2">
              <w:rPr>
                <w:rFonts w:eastAsia="Times New Roman" w:cstheme="minorHAnsi"/>
                <w:b/>
                <w:bCs/>
                <w:sz w:val="20"/>
                <w:szCs w:val="20"/>
              </w:rPr>
              <w:t>Conditional Error Analysis</w:t>
            </w:r>
            <w:r w:rsidRPr="00C717C2">
              <w:rPr>
                <w:rFonts w:eastAsia="Times New Roman" w:cstheme="minorHAnsi"/>
                <w:sz w:val="20"/>
                <w:szCs w:val="20"/>
              </w:rPr>
              <w:t>.</w:t>
            </w:r>
          </w:p>
        </w:tc>
      </w:tr>
      <w:tr w:rsidR="00C717C2" w:rsidRPr="00C717C2" w:rsidTr="005562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717C2" w:rsidRPr="00C717C2" w:rsidRDefault="00C717C2" w:rsidP="00C717C2">
            <w:pPr>
              <w:spacing w:line="276" w:lineRule="auto"/>
              <w:rPr>
                <w:rFonts w:eastAsia="Times New Roman" w:cstheme="minorHAnsi"/>
                <w:sz w:val="20"/>
                <w:szCs w:val="20"/>
              </w:rPr>
            </w:pPr>
            <w:r w:rsidRPr="00C717C2">
              <w:rPr>
                <w:rFonts w:eastAsia="Times New Roman" w:cstheme="minorHAnsi"/>
                <w:sz w:val="20"/>
                <w:szCs w:val="20"/>
              </w:rPr>
              <w:t>Lack of uncertainty quantification</w:t>
            </w:r>
          </w:p>
        </w:tc>
        <w:tc>
          <w:tcPr>
            <w:tcW w:w="0" w:type="auto"/>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Unreliable decision making in discovery</w:t>
            </w:r>
          </w:p>
        </w:tc>
        <w:tc>
          <w:tcPr>
            <w:tcW w:w="0" w:type="auto"/>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 xml:space="preserve">Implement </w:t>
            </w:r>
            <w:r w:rsidRPr="00C717C2">
              <w:rPr>
                <w:rFonts w:eastAsia="Times New Roman" w:cstheme="minorHAnsi"/>
                <w:b/>
                <w:bCs/>
                <w:sz w:val="20"/>
                <w:szCs w:val="20"/>
              </w:rPr>
              <w:t>Calibrated Uncertainty estimates</w:t>
            </w:r>
            <w:r w:rsidRPr="00C717C2">
              <w:rPr>
                <w:rFonts w:eastAsia="Times New Roman" w:cstheme="minorHAnsi"/>
                <w:sz w:val="20"/>
                <w:szCs w:val="20"/>
              </w:rPr>
              <w:t xml:space="preserve"> (e.g., Deep Ensembles, ECE) to establish "trust zones."</w:t>
            </w:r>
          </w:p>
        </w:tc>
      </w:tr>
      <w:tr w:rsidR="00C717C2" w:rsidRPr="00C717C2" w:rsidTr="005562ED">
        <w:tc>
          <w:tcPr>
            <w:cnfStyle w:val="001000000000" w:firstRow="0" w:lastRow="0" w:firstColumn="1" w:lastColumn="0" w:oddVBand="0" w:evenVBand="0" w:oddHBand="0" w:evenHBand="0" w:firstRowFirstColumn="0" w:firstRowLastColumn="0" w:lastRowFirstColumn="0" w:lastRowLastColumn="0"/>
            <w:tcW w:w="0" w:type="auto"/>
            <w:hideMark/>
          </w:tcPr>
          <w:p w:rsidR="00C717C2" w:rsidRPr="00C717C2" w:rsidRDefault="00C717C2" w:rsidP="00C717C2">
            <w:pPr>
              <w:spacing w:line="276" w:lineRule="auto"/>
              <w:rPr>
                <w:rFonts w:eastAsia="Times New Roman" w:cstheme="minorHAnsi"/>
                <w:sz w:val="20"/>
                <w:szCs w:val="20"/>
              </w:rPr>
            </w:pPr>
            <w:r w:rsidRPr="00C717C2">
              <w:rPr>
                <w:rFonts w:eastAsia="Times New Roman" w:cstheme="minorHAnsi"/>
                <w:sz w:val="20"/>
                <w:szCs w:val="20"/>
              </w:rPr>
              <w:t>Missing code/splits</w:t>
            </w:r>
          </w:p>
        </w:tc>
        <w:tc>
          <w:tcPr>
            <w:tcW w:w="0" w:type="auto"/>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Non-reproducible "Black Box" results</w:t>
            </w:r>
          </w:p>
        </w:tc>
        <w:tc>
          <w:tcPr>
            <w:tcW w:w="0" w:type="auto"/>
            <w:hideMark/>
          </w:tcPr>
          <w:p w:rsidR="00C717C2" w:rsidRPr="00C717C2" w:rsidRDefault="00C717C2" w:rsidP="00C717C2">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Release all computational artifacts as Public Artifacts (e.g., GitHub, Zenodo).</w:t>
            </w:r>
          </w:p>
        </w:tc>
      </w:tr>
      <w:tr w:rsidR="00C717C2" w:rsidRPr="00C717C2" w:rsidTr="005562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717C2" w:rsidRPr="00C717C2" w:rsidRDefault="00C717C2" w:rsidP="00C717C2">
            <w:pPr>
              <w:spacing w:line="276" w:lineRule="auto"/>
              <w:rPr>
                <w:rFonts w:eastAsia="Times New Roman" w:cstheme="minorHAnsi"/>
                <w:sz w:val="20"/>
                <w:szCs w:val="20"/>
              </w:rPr>
            </w:pPr>
            <w:r w:rsidRPr="00C717C2">
              <w:rPr>
                <w:rFonts w:eastAsia="Times New Roman" w:cstheme="minorHAnsi"/>
                <w:sz w:val="20"/>
                <w:szCs w:val="20"/>
              </w:rPr>
              <w:t xml:space="preserve">Evaluating </w:t>
            </w:r>
            <w:r w:rsidRPr="00C717C2">
              <w:rPr>
                <w:rFonts w:cstheme="minorHAnsi"/>
                <w:sz w:val="20"/>
                <w:szCs w:val="20"/>
              </w:rPr>
              <w:t xml:space="preserve">generative models </w:t>
            </w:r>
            <w:r w:rsidRPr="00C717C2">
              <w:rPr>
                <w:rFonts w:eastAsia="Times New Roman" w:cstheme="minorHAnsi"/>
                <w:sz w:val="20"/>
                <w:szCs w:val="20"/>
              </w:rPr>
              <w:t>only on validity</w:t>
            </w:r>
          </w:p>
        </w:tc>
        <w:tc>
          <w:tcPr>
            <w:tcW w:w="0" w:type="auto"/>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Overestimates generative model quality</w:t>
            </w:r>
          </w:p>
        </w:tc>
        <w:tc>
          <w:tcPr>
            <w:tcW w:w="0" w:type="auto"/>
            <w:hideMark/>
          </w:tcPr>
          <w:p w:rsidR="00C717C2" w:rsidRPr="00C717C2" w:rsidRDefault="00C717C2" w:rsidP="00C717C2">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r w:rsidRPr="00C717C2">
              <w:rPr>
                <w:rFonts w:eastAsia="Times New Roman" w:cstheme="minorHAnsi"/>
                <w:sz w:val="20"/>
                <w:szCs w:val="20"/>
              </w:rPr>
              <w:t xml:space="preserve">Utilize the full </w:t>
            </w:r>
            <w:r w:rsidRPr="00C717C2">
              <w:rPr>
                <w:rFonts w:eastAsia="Times New Roman" w:cstheme="minorHAnsi"/>
                <w:b/>
                <w:bCs/>
                <w:sz w:val="20"/>
                <w:szCs w:val="20"/>
              </w:rPr>
              <w:t>VUND</w:t>
            </w:r>
            <w:r w:rsidRPr="00C717C2">
              <w:rPr>
                <w:rFonts w:eastAsia="Times New Roman" w:cstheme="minorHAnsi"/>
                <w:b/>
                <w:bCs/>
                <w:sz w:val="20"/>
                <w:szCs w:val="20"/>
                <w:vertAlign w:val="superscript"/>
              </w:rPr>
              <w:t>+</w:t>
            </w:r>
            <w:r w:rsidRPr="00C717C2">
              <w:rPr>
                <w:rFonts w:eastAsia="Times New Roman" w:cstheme="minorHAnsi"/>
                <w:b/>
                <w:bCs/>
                <w:sz w:val="20"/>
                <w:szCs w:val="20"/>
              </w:rPr>
              <w:t xml:space="preserve"> framework</w:t>
            </w:r>
            <w:r w:rsidRPr="00C717C2">
              <w:rPr>
                <w:rFonts w:eastAsia="Times New Roman" w:cstheme="minorHAnsi"/>
                <w:sz w:val="20"/>
                <w:szCs w:val="20"/>
              </w:rPr>
              <w:t xml:space="preserve">, emphasizing </w:t>
            </w:r>
            <w:r w:rsidRPr="00C717C2">
              <w:rPr>
                <w:rFonts w:eastAsia="Times New Roman" w:cstheme="minorHAnsi"/>
                <w:b/>
                <w:bCs/>
                <w:sz w:val="20"/>
                <w:szCs w:val="20"/>
              </w:rPr>
              <w:t>Synthesis Accessibility (SA)</w:t>
            </w:r>
            <w:r w:rsidRPr="00C717C2">
              <w:rPr>
                <w:rFonts w:eastAsia="Times New Roman" w:cstheme="minorHAnsi"/>
                <w:sz w:val="20"/>
                <w:szCs w:val="20"/>
              </w:rPr>
              <w:t>.</w:t>
            </w:r>
          </w:p>
        </w:tc>
      </w:tr>
    </w:tbl>
    <w:p w:rsidR="00C717C2" w:rsidRDefault="00C717C2" w:rsidP="004D0E2F">
      <w:pPr>
        <w:spacing w:after="0" w:line="360" w:lineRule="auto"/>
        <w:jc w:val="both"/>
        <w:rPr>
          <w:rFonts w:cstheme="minorHAnsi"/>
          <w:b/>
          <w:bCs/>
          <w:sz w:val="20"/>
          <w:szCs w:val="20"/>
        </w:rPr>
      </w:pPr>
      <w:r w:rsidRPr="00DE4DC4">
        <w:rPr>
          <w:rFonts w:asciiTheme="majorBidi" w:hAnsiTheme="majorBidi" w:cstheme="majorBidi"/>
          <w:noProof/>
        </w:rPr>
        <mc:AlternateContent>
          <mc:Choice Requires="wps">
            <w:drawing>
              <wp:anchor distT="0" distB="0" distL="114300" distR="114300" simplePos="0" relativeHeight="251692032" behindDoc="0" locked="0" layoutInCell="1" allowOverlap="1" wp14:anchorId="647DA3ED" wp14:editId="4306A0A0">
                <wp:simplePos x="0" y="0"/>
                <wp:positionH relativeFrom="margin">
                  <wp:align>left</wp:align>
                </wp:positionH>
                <wp:positionV relativeFrom="paragraph">
                  <wp:posOffset>108585</wp:posOffset>
                </wp:positionV>
                <wp:extent cx="5905500" cy="390525"/>
                <wp:effectExtent l="0" t="0" r="0" b="9525"/>
                <wp:wrapNone/>
                <wp:docPr id="37" name="Text Box 37"/>
                <wp:cNvGraphicFramePr/>
                <a:graphic xmlns:a="http://schemas.openxmlformats.org/drawingml/2006/main">
                  <a:graphicData uri="http://schemas.microsoft.com/office/word/2010/wordprocessingShape">
                    <wps:wsp>
                      <wps:cNvSpPr txBox="1"/>
                      <wps:spPr>
                        <a:xfrm>
                          <a:off x="0" y="0"/>
                          <a:ext cx="5905500" cy="390525"/>
                        </a:xfrm>
                        <a:prstGeom prst="rect">
                          <a:avLst/>
                        </a:prstGeom>
                        <a:solidFill>
                          <a:schemeClr val="lt1"/>
                        </a:solidFill>
                        <a:ln w="6350">
                          <a:noFill/>
                        </a:ln>
                      </wps:spPr>
                      <wps:txbx>
                        <w:txbxContent>
                          <w:p w:rsidR="005562ED" w:rsidRPr="00C717C2" w:rsidRDefault="005562ED" w:rsidP="00C717C2">
                            <w:pPr>
                              <w:spacing w:after="0" w:line="276" w:lineRule="auto"/>
                              <w:rPr>
                                <w:rStyle w:val="Strong"/>
                                <w:rFonts w:cstheme="minorHAnsi"/>
                                <w:b w:val="0"/>
                                <w:bCs w:val="0"/>
                                <w:sz w:val="18"/>
                                <w:szCs w:val="18"/>
                              </w:rPr>
                            </w:pPr>
                            <w:r w:rsidRPr="00C717C2">
                              <w:rPr>
                                <w:rStyle w:val="Strong"/>
                                <w:rFonts w:cstheme="minorHAnsi"/>
                                <w:sz w:val="18"/>
                                <w:szCs w:val="18"/>
                              </w:rPr>
                              <w:t>Table 12:</w:t>
                            </w:r>
                            <w:r w:rsidRPr="00C717C2">
                              <w:rPr>
                                <w:rStyle w:val="Strong"/>
                                <w:rFonts w:cstheme="minorHAnsi"/>
                                <w:b w:val="0"/>
                                <w:bCs w:val="0"/>
                                <w:sz w:val="18"/>
                                <w:szCs w:val="18"/>
                              </w:rPr>
                              <w:t xml:space="preserve"> Methodological Pitfalls and Proposed Corrective Standards. A diagnostic summary of common evaluative errors in polymer informatics and the corresponding best practices required for scientific rigor.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DA3ED" id="Text Box 37" o:spid="_x0000_s1041" type="#_x0000_t202" style="position:absolute;left:0;text-align:left;margin-left:0;margin-top:8.55pt;width:465pt;height:30.7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wfNOgIAAHMEAAAOAAAAZHJzL2Uyb0RvYy54bWysVMFu2zAMvQ/YPwi6r3ZSpFuNOEXWosOA&#10;oi3QDj0rshwbkEVNUmJ3X78nOU62bqdhF5kiqUfykfTyaug02yvnWzIln53lnCkjqWrNtuTfnm8/&#10;fOLMB2Eqocmokr8qz69W798te1uoOTWkK+UYQIwvelvyJgRbZJmXjeqEPyOrDIw1uU4EXN02q5zo&#10;gd7pbJ7nF1lPrrKOpPIe2pvRyFcJv66VDA917VVguuTILaTTpXMTz2y1FMXWCdu08pCG+IcsOtEa&#10;BD1C3Ygg2M61f0B1rXTkqQ5nkrqM6rqVKtWAamb5m2qeGmFVqgXkeHukyf8/WHm/f3SsrUp+/pEz&#10;Izr06FkNgX2mgUEFfnrrC7g9WTiGAXr0edJ7KGPZQ+26+EVBDHYw/XpkN6JJKBeX+WKRwyRhO8dl&#10;vogw2em1dT58UdSxKJTcoXuJVLG/82F0nVxiME+6rW5brdMlToy61o7tBXqtQ8oR4L95acP6kl+c&#10;L/IEbCg+H5G1QS6x1rGmKIVhMyRuZinTqNpQ9QoeHI2T5K28bZHsnfDhUTiMDurDOoQHHLUmBKOD&#10;xFlD7sff9NEfHYWVsx6jWHL/fSec4kx/Neh1nNtJcJOwmQSz664JFc+waFYmEQ9c0JNYO+pesCXr&#10;GAUmYSRilTxM4nUYFwJbJtV6nZwwnVaEO/NkZYSODEfqn4cX4eyhPwGdvadpSEXxpk2jb3xpaL0L&#10;VLephycWD3xjstMUHLYwrs6v9+R1+lesfgIAAP//AwBQSwMEFAAGAAgAAAAhACM6X/LdAAAABgEA&#10;AA8AAABkcnMvZG93bnJldi54bWxMj8FOwzAQRO9I/IO1SFwQdQooCSFOBUgckECIgnp24yUOtdch&#10;dtuUr2c5wXFmVjNv68XkndjhGPtACuazDARSG0xPnYL3t4fzEkRMmox2gVDBASMsmuOjWlcm7OkV&#10;d8vUCS6hWGkFNqWhkjK2Fr2OszAgcfYRRq8Ty7GTZtR7LvdOXmRZLr3uiResHvDeYrtZbr2C8nD1&#10;fLbKi9Wne3m8s9/dFz1ttFKnJ9PtDYiEU/o7hl98RoeGmdZhSyYKp4AfSewWcxCcXl9mbKwVFGUO&#10;sqnlf/zmBwAA//8DAFBLAQItABQABgAIAAAAIQC2gziS/gAAAOEBAAATAAAAAAAAAAAAAAAAAAAA&#10;AABbQ29udGVudF9UeXBlc10ueG1sUEsBAi0AFAAGAAgAAAAhADj9If/WAAAAlAEAAAsAAAAAAAAA&#10;AAAAAAAALwEAAF9yZWxzLy5yZWxzUEsBAi0AFAAGAAgAAAAhALBrB806AgAAcwQAAA4AAAAAAAAA&#10;AAAAAAAALgIAAGRycy9lMm9Eb2MueG1sUEsBAi0AFAAGAAgAAAAhACM6X/LdAAAABgEAAA8AAAAA&#10;AAAAAAAAAAAAlAQAAGRycy9kb3ducmV2LnhtbFBLBQYAAAAABAAEAPMAAACeBQAAAAA=&#10;" fillcolor="white [3201]" stroked="f" strokeweight=".5pt">
                <v:textbox inset="0,0,0,0">
                  <w:txbxContent>
                    <w:p w:rsidR="005562ED" w:rsidRPr="00C717C2" w:rsidRDefault="005562ED" w:rsidP="00C717C2">
                      <w:pPr>
                        <w:spacing w:after="0" w:line="276" w:lineRule="auto"/>
                        <w:rPr>
                          <w:rStyle w:val="Strong"/>
                          <w:rFonts w:cstheme="minorHAnsi"/>
                          <w:b w:val="0"/>
                          <w:bCs w:val="0"/>
                          <w:sz w:val="18"/>
                          <w:szCs w:val="18"/>
                        </w:rPr>
                      </w:pPr>
                      <w:r w:rsidRPr="00C717C2">
                        <w:rPr>
                          <w:rStyle w:val="Strong"/>
                          <w:rFonts w:cstheme="minorHAnsi"/>
                          <w:sz w:val="18"/>
                          <w:szCs w:val="18"/>
                        </w:rPr>
                        <w:t>Table 12:</w:t>
                      </w:r>
                      <w:r w:rsidRPr="00C717C2">
                        <w:rPr>
                          <w:rStyle w:val="Strong"/>
                          <w:rFonts w:cstheme="minorHAnsi"/>
                          <w:b w:val="0"/>
                          <w:bCs w:val="0"/>
                          <w:sz w:val="18"/>
                          <w:szCs w:val="18"/>
                        </w:rPr>
                        <w:t xml:space="preserve"> Methodological Pitfalls and Proposed Corrective Standards. A diagnostic summary of common evaluative errors in polymer informatics and the corresponding best practices required for scientific rigor.</w:t>
                      </w:r>
                    </w:p>
                  </w:txbxContent>
                </v:textbox>
                <w10:wrap anchorx="margin"/>
              </v:shape>
            </w:pict>
          </mc:Fallback>
        </mc:AlternateContent>
      </w:r>
    </w:p>
    <w:p w:rsidR="00C717C2" w:rsidRDefault="00C717C2" w:rsidP="004D0E2F">
      <w:pPr>
        <w:spacing w:after="0" w:line="360" w:lineRule="auto"/>
        <w:jc w:val="both"/>
        <w:rPr>
          <w:rFonts w:cstheme="minorHAnsi"/>
          <w:b/>
          <w:bCs/>
          <w:sz w:val="20"/>
          <w:szCs w:val="20"/>
        </w:rPr>
      </w:pPr>
    </w:p>
    <w:p w:rsidR="00C717C2" w:rsidRDefault="00C717C2" w:rsidP="004D0E2F">
      <w:pPr>
        <w:spacing w:after="0" w:line="360" w:lineRule="auto"/>
        <w:jc w:val="both"/>
        <w:rPr>
          <w:rFonts w:cstheme="minorHAnsi"/>
          <w:b/>
          <w:bCs/>
          <w:sz w:val="20"/>
          <w:szCs w:val="20"/>
        </w:rPr>
      </w:pPr>
    </w:p>
    <w:p w:rsidR="00443582" w:rsidRDefault="00C57922" w:rsidP="004D0E2F">
      <w:pPr>
        <w:spacing w:after="0" w:line="360" w:lineRule="auto"/>
        <w:jc w:val="both"/>
        <w:rPr>
          <w:rFonts w:cstheme="minorHAnsi"/>
          <w:sz w:val="20"/>
          <w:szCs w:val="20"/>
        </w:rPr>
      </w:pPr>
      <w:r w:rsidRPr="00443582">
        <w:rPr>
          <w:rFonts w:cstheme="minorHAnsi"/>
          <w:b/>
          <w:bCs/>
          <w:sz w:val="20"/>
          <w:szCs w:val="20"/>
        </w:rPr>
        <w:t>The Path Forward</w:t>
      </w:r>
    </w:p>
    <w:p w:rsidR="00C57922" w:rsidRPr="006C7800" w:rsidRDefault="00443582" w:rsidP="004D0E2F">
      <w:pPr>
        <w:spacing w:after="0" w:line="360" w:lineRule="auto"/>
        <w:jc w:val="both"/>
        <w:rPr>
          <w:rFonts w:cstheme="minorHAnsi"/>
          <w:sz w:val="20"/>
          <w:szCs w:val="20"/>
        </w:rPr>
      </w:pPr>
      <w:r>
        <w:rPr>
          <w:rFonts w:cstheme="minorHAnsi"/>
          <w:sz w:val="20"/>
          <w:szCs w:val="20"/>
        </w:rPr>
        <w:t>F</w:t>
      </w:r>
      <w:r w:rsidRPr="006C7800">
        <w:rPr>
          <w:rFonts w:cstheme="minorHAnsi"/>
          <w:sz w:val="20"/>
          <w:szCs w:val="20"/>
        </w:rPr>
        <w:t>or</w:t>
      </w:r>
      <w:r w:rsidR="00C57922" w:rsidRPr="006C7800">
        <w:rPr>
          <w:rFonts w:cstheme="minorHAnsi"/>
          <w:sz w:val="20"/>
          <w:szCs w:val="20"/>
        </w:rPr>
        <w:t xml:space="preserve"> true experimental impact, the community must move beyond reporting aggregate accuracy. Progress requires:</w:t>
      </w:r>
    </w:p>
    <w:p w:rsidR="00C57922" w:rsidRPr="006C7800" w:rsidRDefault="00C57922" w:rsidP="004D0E2F">
      <w:pPr>
        <w:numPr>
          <w:ilvl w:val="0"/>
          <w:numId w:val="35"/>
        </w:numPr>
        <w:spacing w:after="0" w:line="360" w:lineRule="auto"/>
        <w:jc w:val="both"/>
        <w:rPr>
          <w:rFonts w:cstheme="minorHAnsi"/>
          <w:sz w:val="20"/>
          <w:szCs w:val="20"/>
        </w:rPr>
      </w:pPr>
      <w:r w:rsidRPr="006C7800">
        <w:rPr>
          <w:rFonts w:cstheme="minorHAnsi"/>
          <w:sz w:val="20"/>
          <w:szCs w:val="20"/>
        </w:rPr>
        <w:t>Adherence to the PIMRR framework for ensemble-aware reporting.</w:t>
      </w:r>
    </w:p>
    <w:p w:rsidR="00C57922" w:rsidRPr="006C7800" w:rsidRDefault="00C57922" w:rsidP="004D0E2F">
      <w:pPr>
        <w:numPr>
          <w:ilvl w:val="0"/>
          <w:numId w:val="35"/>
        </w:numPr>
        <w:spacing w:after="0" w:line="360" w:lineRule="auto"/>
        <w:jc w:val="both"/>
        <w:rPr>
          <w:rFonts w:cstheme="minorHAnsi"/>
          <w:sz w:val="20"/>
          <w:szCs w:val="20"/>
        </w:rPr>
      </w:pPr>
      <w:r w:rsidRPr="006C7800">
        <w:rPr>
          <w:rFonts w:cstheme="minorHAnsi"/>
          <w:sz w:val="20"/>
          <w:szCs w:val="20"/>
        </w:rPr>
        <w:t>Adoption of standardized, scaffold-split benchmarks to test genuine chemical extrapolation.</w:t>
      </w:r>
    </w:p>
    <w:p w:rsidR="00C57922" w:rsidRPr="006C7800" w:rsidRDefault="00C57922" w:rsidP="004D0E2F">
      <w:pPr>
        <w:numPr>
          <w:ilvl w:val="0"/>
          <w:numId w:val="35"/>
        </w:numPr>
        <w:spacing w:after="0" w:line="360" w:lineRule="auto"/>
        <w:jc w:val="both"/>
        <w:rPr>
          <w:rFonts w:cstheme="minorHAnsi"/>
          <w:sz w:val="20"/>
          <w:szCs w:val="20"/>
        </w:rPr>
      </w:pPr>
      <w:r w:rsidRPr="006C7800">
        <w:rPr>
          <w:rFonts w:cstheme="minorHAnsi"/>
          <w:sz w:val="20"/>
          <w:szCs w:val="20"/>
        </w:rPr>
        <w:t>Routine integration of uncertainty calibration for risk-aware materials design.</w:t>
      </w:r>
    </w:p>
    <w:p w:rsidR="00C57922" w:rsidRPr="006C7800" w:rsidRDefault="00C57922" w:rsidP="004D0E2F">
      <w:pPr>
        <w:numPr>
          <w:ilvl w:val="0"/>
          <w:numId w:val="35"/>
        </w:numPr>
        <w:spacing w:after="0" w:line="360" w:lineRule="auto"/>
        <w:jc w:val="both"/>
        <w:rPr>
          <w:rFonts w:cstheme="minorHAnsi"/>
          <w:sz w:val="20"/>
          <w:szCs w:val="20"/>
        </w:rPr>
      </w:pPr>
      <w:r w:rsidRPr="006C7800">
        <w:rPr>
          <w:rFonts w:cstheme="minorHAnsi"/>
          <w:sz w:val="20"/>
          <w:szCs w:val="20"/>
        </w:rPr>
        <w:t>Experimental validation of top candidates to close the loop between computation and laboratory.</w:t>
      </w:r>
    </w:p>
    <w:p w:rsidR="00C57922" w:rsidRPr="006C7800" w:rsidRDefault="00C57922" w:rsidP="004D0E2F">
      <w:pPr>
        <w:spacing w:after="0" w:line="360" w:lineRule="auto"/>
        <w:jc w:val="both"/>
        <w:rPr>
          <w:rFonts w:cstheme="minorHAnsi"/>
          <w:sz w:val="20"/>
          <w:szCs w:val="20"/>
        </w:rPr>
      </w:pPr>
      <w:r w:rsidRPr="006C7800">
        <w:rPr>
          <w:rFonts w:cstheme="minorHAnsi"/>
          <w:sz w:val="20"/>
          <w:szCs w:val="20"/>
        </w:rPr>
        <w:t>Only through such rigorous, reproducible evaluation can the field move beyond "virtual curiosities" toward successful design of next-generation high-performance macromolecules.</w:t>
      </w:r>
    </w:p>
    <w:p w:rsidR="00D61E0E" w:rsidRPr="00443582" w:rsidRDefault="00D61E0E" w:rsidP="00443582">
      <w:pPr>
        <w:spacing w:before="240" w:line="360" w:lineRule="auto"/>
        <w:jc w:val="both"/>
        <w:rPr>
          <w:b/>
          <w:bCs/>
          <w:sz w:val="24"/>
          <w:szCs w:val="24"/>
        </w:rPr>
      </w:pPr>
      <w:r w:rsidRPr="00443582">
        <w:rPr>
          <w:b/>
          <w:bCs/>
          <w:sz w:val="24"/>
          <w:szCs w:val="24"/>
        </w:rPr>
        <w:t>5. Representative Studies and Evolving Paradigms in Polymer Deep Learning</w:t>
      </w:r>
    </w:p>
    <w:p w:rsidR="00D61E0E" w:rsidRPr="00F93044" w:rsidRDefault="00D61E0E" w:rsidP="003C172F">
      <w:pPr>
        <w:spacing w:after="0" w:line="360" w:lineRule="auto"/>
        <w:jc w:val="both"/>
        <w:rPr>
          <w:color w:val="FF0000"/>
          <w:sz w:val="20"/>
          <w:szCs w:val="20"/>
        </w:rPr>
      </w:pPr>
      <w:r w:rsidRPr="00B0208A">
        <w:rPr>
          <w:sz w:val="20"/>
          <w:szCs w:val="20"/>
        </w:rPr>
        <w:t>Deep learning in polymer science has progressed from exploratory demonstrations to a maturing discipline that increasingly shapes materials discovery. The representative studies reviewed here are not isolated achievements but milestones in a broader evolution: from property prediction to generative design, from handcrafted descriptors to learned representations, and from data scarcity to multimodal integration. We organize this landscape around architectural and conceptual innovations, emphasizing how each study advances the field and where critical gaps remain</w:t>
      </w:r>
      <w:r w:rsidRPr="00F93044">
        <w:rPr>
          <w:sz w:val="20"/>
          <w:szCs w:val="20"/>
        </w:rPr>
        <w:t xml:space="preserve">. A comparative synthesis of these paradigms and their associated methodological trade-offs is provided in Table </w:t>
      </w:r>
      <w:r w:rsidR="003C172F" w:rsidRPr="00F93044">
        <w:rPr>
          <w:sz w:val="20"/>
          <w:szCs w:val="20"/>
        </w:rPr>
        <w:t>13</w:t>
      </w:r>
      <w:r w:rsidRPr="00F93044">
        <w:rPr>
          <w:sz w:val="20"/>
          <w:szCs w:val="20"/>
        </w:rPr>
        <w:t>.</w:t>
      </w:r>
    </w:p>
    <w:p w:rsidR="00D61E0E" w:rsidRPr="00443582" w:rsidRDefault="00D61E0E" w:rsidP="00D61E0E">
      <w:pPr>
        <w:spacing w:before="240" w:after="0" w:line="360" w:lineRule="auto"/>
        <w:jc w:val="both"/>
        <w:rPr>
          <w:b/>
          <w:bCs/>
        </w:rPr>
      </w:pPr>
      <w:r w:rsidRPr="00443582">
        <w:rPr>
          <w:b/>
          <w:bCs/>
        </w:rPr>
        <w:t>5.1 The Task Landscape: From Prediction to Creation</w:t>
      </w:r>
    </w:p>
    <w:p w:rsidR="005551BF" w:rsidRPr="000C4906" w:rsidRDefault="00D61E0E" w:rsidP="005551BF">
      <w:pPr>
        <w:pStyle w:val="NormalWeb"/>
        <w:spacing w:before="0" w:beforeAutospacing="0" w:after="0" w:afterAutospacing="0" w:line="480" w:lineRule="auto"/>
        <w:jc w:val="both"/>
        <w:rPr>
          <w:rFonts w:asciiTheme="majorBidi" w:hAnsiTheme="majorBidi" w:cstheme="majorBidi"/>
          <w:color w:val="FF0000"/>
          <w:sz w:val="22"/>
          <w:szCs w:val="22"/>
        </w:rPr>
      </w:pPr>
      <w:r w:rsidRPr="00B0208A">
        <w:rPr>
          <w:sz w:val="20"/>
          <w:szCs w:val="20"/>
        </w:rPr>
        <w:t>Polymer deep learning tasks map along two axes: task complexity (</w:t>
      </w:r>
      <w:r w:rsidR="005551BF" w:rsidRPr="005551BF">
        <w:rPr>
          <w:rFonts w:asciiTheme="minorHAnsi" w:hAnsiTheme="minorHAnsi" w:cstheme="minorHAnsi"/>
          <w:sz w:val="20"/>
          <w:szCs w:val="20"/>
        </w:rPr>
        <w:t xml:space="preserve">prediction → generation) and </w:t>
      </w:r>
      <w:r w:rsidR="005551BF" w:rsidRPr="005551BF">
        <w:rPr>
          <w:rStyle w:val="Strong"/>
          <w:rFonts w:asciiTheme="minorHAnsi" w:hAnsiTheme="minorHAnsi" w:cstheme="minorHAnsi"/>
          <w:b w:val="0"/>
          <w:bCs w:val="0"/>
          <w:sz w:val="20"/>
          <w:szCs w:val="20"/>
        </w:rPr>
        <w:t>data modality</w:t>
      </w:r>
      <w:r w:rsidR="005551BF" w:rsidRPr="005551BF">
        <w:rPr>
          <w:rFonts w:asciiTheme="minorHAnsi" w:hAnsiTheme="minorHAnsi" w:cstheme="minorHAnsi"/>
          <w:sz w:val="20"/>
          <w:szCs w:val="20"/>
        </w:rPr>
        <w:t xml:space="preserve"> (engineered descriptors → raw multimodal inputs).</w:t>
      </w:r>
      <w:r w:rsidRPr="005551BF">
        <w:rPr>
          <w:sz w:val="20"/>
          <w:szCs w:val="20"/>
        </w:rPr>
        <w:t xml:space="preserve"> </w:t>
      </w:r>
      <w:r w:rsidRPr="00B0208A">
        <w:rPr>
          <w:sz w:val="20"/>
          <w:szCs w:val="20"/>
        </w:rPr>
        <w:t>These form the computational backbone of polymer informatics:</w:t>
      </w:r>
      <w:r w:rsidR="005551BF" w:rsidRPr="005551BF">
        <w:rPr>
          <w:rFonts w:asciiTheme="majorBidi" w:hAnsiTheme="majorBidi" w:cstheme="majorBidi"/>
          <w:color w:val="FF0000"/>
        </w:rPr>
        <w:t xml:space="preserve"> </w:t>
      </w:r>
    </w:p>
    <w:p w:rsidR="00D61E0E" w:rsidRPr="00B0208A" w:rsidRDefault="00D61E0E" w:rsidP="0011578A">
      <w:pPr>
        <w:numPr>
          <w:ilvl w:val="0"/>
          <w:numId w:val="41"/>
        </w:numPr>
        <w:spacing w:after="0" w:line="360" w:lineRule="auto"/>
        <w:jc w:val="both"/>
        <w:rPr>
          <w:sz w:val="20"/>
          <w:szCs w:val="20"/>
        </w:rPr>
      </w:pPr>
      <w:r w:rsidRPr="00B0208A">
        <w:rPr>
          <w:b/>
          <w:bCs/>
          <w:sz w:val="20"/>
          <w:szCs w:val="20"/>
        </w:rPr>
        <w:t>Property Prediction:</w:t>
      </w:r>
      <w:r w:rsidRPr="00B0208A">
        <w:rPr>
          <w:sz w:val="20"/>
          <w:szCs w:val="20"/>
        </w:rPr>
        <w:t xml:space="preserve"> The most mature task, where models learn mappings</w:t>
      </w:r>
      <w:r w:rsidR="005551BF" w:rsidRPr="005551BF">
        <w:t xml:space="preserve"> </w:t>
      </w:r>
      <w:r w:rsidR="005551BF" w:rsidRPr="005551BF">
        <w:rPr>
          <w:b/>
          <w:bCs/>
          <w:sz w:val="20"/>
          <w:szCs w:val="20"/>
        </w:rPr>
        <w:t>f(structure, processing) → property.</w:t>
      </w:r>
      <w:r w:rsidR="005551BF">
        <w:rPr>
          <w:sz w:val="20"/>
          <w:szCs w:val="20"/>
        </w:rPr>
        <w:t xml:space="preserve"> </w:t>
      </w:r>
      <w:r w:rsidRPr="00B0208A">
        <w:rPr>
          <w:sz w:val="20"/>
          <w:szCs w:val="20"/>
        </w:rPr>
        <w:t>Foundational systems like Polymer Genome, PolymerGNN, and Chemprop established viability using graphs and sequences.</w:t>
      </w:r>
    </w:p>
    <w:p w:rsidR="00D61E0E" w:rsidRPr="00B0208A" w:rsidRDefault="00D61E0E" w:rsidP="0011578A">
      <w:pPr>
        <w:numPr>
          <w:ilvl w:val="0"/>
          <w:numId w:val="41"/>
        </w:numPr>
        <w:spacing w:after="0" w:line="360" w:lineRule="auto"/>
        <w:jc w:val="both"/>
        <w:rPr>
          <w:sz w:val="20"/>
          <w:szCs w:val="20"/>
        </w:rPr>
      </w:pPr>
      <w:r w:rsidRPr="00B0208A">
        <w:rPr>
          <w:b/>
          <w:bCs/>
          <w:sz w:val="20"/>
          <w:szCs w:val="20"/>
        </w:rPr>
        <w:lastRenderedPageBreak/>
        <w:t>Inverse Design and Generative Modeling:</w:t>
      </w:r>
      <w:r w:rsidRPr="00B0208A">
        <w:rPr>
          <w:sz w:val="20"/>
          <w:szCs w:val="20"/>
        </w:rPr>
        <w:t xml:space="preserve"> The goal reverses</w:t>
      </w:r>
      <w:r w:rsidRPr="005551BF">
        <w:rPr>
          <w:rFonts w:cstheme="minorHAnsi"/>
          <w:sz w:val="20"/>
          <w:szCs w:val="20"/>
        </w:rPr>
        <w:t xml:space="preserve">: </w:t>
      </w:r>
      <w:r w:rsidR="005551BF" w:rsidRPr="005551BF">
        <w:rPr>
          <w:rStyle w:val="Strong"/>
          <w:rFonts w:cstheme="minorHAnsi"/>
          <w:sz w:val="20"/>
          <w:szCs w:val="20"/>
        </w:rPr>
        <w:t>g(target property) → candidate structure</w:t>
      </w:r>
      <w:r w:rsidR="005551BF" w:rsidRPr="005551BF">
        <w:rPr>
          <w:rFonts w:cstheme="minorHAnsi"/>
          <w:sz w:val="20"/>
          <w:szCs w:val="20"/>
        </w:rPr>
        <w:t xml:space="preserve"> </w:t>
      </w:r>
      <w:r w:rsidRPr="00B0208A">
        <w:rPr>
          <w:sz w:val="20"/>
          <w:szCs w:val="20"/>
        </w:rPr>
        <w:t>using VAEs [63], GANs [132], and increasingly diffusion models. These explore vast chemical design space but struggle with synthesizability and polymerization constraints.</w:t>
      </w:r>
    </w:p>
    <w:p w:rsidR="00D61E0E" w:rsidRPr="00B0208A" w:rsidRDefault="00D61E0E" w:rsidP="0011578A">
      <w:pPr>
        <w:numPr>
          <w:ilvl w:val="0"/>
          <w:numId w:val="41"/>
        </w:numPr>
        <w:spacing w:after="0" w:line="360" w:lineRule="auto"/>
        <w:jc w:val="both"/>
        <w:rPr>
          <w:sz w:val="20"/>
          <w:szCs w:val="20"/>
        </w:rPr>
      </w:pPr>
      <w:r w:rsidRPr="00B0208A">
        <w:rPr>
          <w:b/>
          <w:bCs/>
          <w:sz w:val="20"/>
          <w:szCs w:val="20"/>
        </w:rPr>
        <w:t>Synthesis and Processing Modeling:</w:t>
      </w:r>
      <w:r w:rsidRPr="00B0208A">
        <w:rPr>
          <w:sz w:val="20"/>
          <w:szCs w:val="20"/>
        </w:rPr>
        <w:t xml:space="preserve"> Models like F-GMDH [136] and physics-aware MLPs learn mappings </w:t>
      </w:r>
      <w:r w:rsidR="005551BF" w:rsidRPr="005551BF">
        <w:rPr>
          <w:rStyle w:val="Strong"/>
          <w:rFonts w:cstheme="minorHAnsi"/>
          <w:sz w:val="20"/>
          <w:szCs w:val="20"/>
        </w:rPr>
        <w:t>h(monomers, conditions) → final material performance</w:t>
      </w:r>
      <w:r w:rsidRPr="005551BF">
        <w:rPr>
          <w:sz w:val="20"/>
          <w:szCs w:val="20"/>
        </w:rPr>
        <w:t>, linking chemistry to manufacturing.</w:t>
      </w:r>
    </w:p>
    <w:p w:rsidR="00D61E0E" w:rsidRPr="00B0208A" w:rsidRDefault="00D61E0E" w:rsidP="0011578A">
      <w:pPr>
        <w:numPr>
          <w:ilvl w:val="0"/>
          <w:numId w:val="41"/>
        </w:numPr>
        <w:spacing w:after="0" w:line="360" w:lineRule="auto"/>
        <w:jc w:val="both"/>
        <w:rPr>
          <w:sz w:val="20"/>
          <w:szCs w:val="20"/>
        </w:rPr>
      </w:pPr>
      <w:r w:rsidRPr="00B0208A">
        <w:rPr>
          <w:b/>
          <w:bCs/>
          <w:sz w:val="20"/>
          <w:szCs w:val="20"/>
        </w:rPr>
        <w:t>Data Mining and Corpus Construction:</w:t>
      </w:r>
      <w:r w:rsidRPr="00B0208A">
        <w:rPr>
          <w:sz w:val="20"/>
          <w:szCs w:val="20"/>
        </w:rPr>
        <w:t xml:space="preserve"> NLP pipelines extract knowledge from literature, enabling large-scale corpora for self-supervised learning. These form the foundation for polymer-specific language models and multimodal encoders.</w:t>
      </w:r>
    </w:p>
    <w:p w:rsidR="00D61E0E" w:rsidRPr="00443582" w:rsidRDefault="00D61E0E" w:rsidP="00D61E0E">
      <w:pPr>
        <w:spacing w:before="240" w:after="0" w:line="360" w:lineRule="auto"/>
        <w:jc w:val="both"/>
        <w:rPr>
          <w:b/>
          <w:bCs/>
        </w:rPr>
      </w:pPr>
      <w:r w:rsidRPr="00443582">
        <w:rPr>
          <w:b/>
          <w:bCs/>
        </w:rPr>
        <w:t>5.2 Architectural Evolution: Case Studies in Model Development</w:t>
      </w:r>
    </w:p>
    <w:p w:rsidR="00D61E0E" w:rsidRPr="00B0208A" w:rsidRDefault="00D61E0E" w:rsidP="00D61E0E">
      <w:pPr>
        <w:spacing w:after="0" w:line="360" w:lineRule="auto"/>
        <w:jc w:val="both"/>
        <w:rPr>
          <w:sz w:val="20"/>
          <w:szCs w:val="20"/>
        </w:rPr>
      </w:pPr>
      <w:r w:rsidRPr="00B0208A">
        <w:rPr>
          <w:sz w:val="20"/>
          <w:szCs w:val="20"/>
        </w:rPr>
        <w:t>The shift from handcrafted descriptors to learned representations moved architectures beyond "point-property" estimation toward a deeper understanding of the macromolecular state. We categorize this evolution into three paradigms: spatial topology, sequential logic, and multimodal hybridization.</w:t>
      </w:r>
    </w:p>
    <w:p w:rsidR="00D61E0E" w:rsidRPr="00443582" w:rsidRDefault="00D61E0E" w:rsidP="00D61E0E">
      <w:pPr>
        <w:spacing w:before="240" w:after="0" w:line="360" w:lineRule="auto"/>
        <w:jc w:val="both"/>
        <w:rPr>
          <w:b/>
          <w:bCs/>
        </w:rPr>
      </w:pPr>
      <w:r w:rsidRPr="00443582">
        <w:rPr>
          <w:b/>
          <w:bCs/>
        </w:rPr>
        <w:t>5.2.1 Graph-Based Topology and Geometric Learning</w:t>
      </w:r>
    </w:p>
    <w:p w:rsidR="00D61E0E" w:rsidRPr="00B0208A" w:rsidRDefault="00D61E0E" w:rsidP="00D61E0E">
      <w:pPr>
        <w:spacing w:after="0" w:line="360" w:lineRule="auto"/>
        <w:jc w:val="both"/>
        <w:rPr>
          <w:sz w:val="20"/>
          <w:szCs w:val="20"/>
        </w:rPr>
      </w:pPr>
      <w:r w:rsidRPr="00B0208A">
        <w:rPr>
          <w:sz w:val="20"/>
          <w:szCs w:val="20"/>
        </w:rPr>
        <w:t>Graph Neural Networks (GNNs) emerged as the primary tool for capturing local connectivity and spatial arrangement.</w:t>
      </w:r>
    </w:p>
    <w:p w:rsidR="00D61E0E" w:rsidRPr="00B0208A" w:rsidRDefault="00D61E0E" w:rsidP="0011578A">
      <w:pPr>
        <w:numPr>
          <w:ilvl w:val="0"/>
          <w:numId w:val="42"/>
        </w:numPr>
        <w:spacing w:after="0" w:line="360" w:lineRule="auto"/>
        <w:jc w:val="both"/>
        <w:rPr>
          <w:sz w:val="20"/>
          <w:szCs w:val="20"/>
        </w:rPr>
      </w:pPr>
      <w:r w:rsidRPr="00B0208A">
        <w:rPr>
          <w:b/>
          <w:bCs/>
          <w:sz w:val="20"/>
          <w:szCs w:val="20"/>
        </w:rPr>
        <w:t>Foundational Graph Learning:</w:t>
      </w:r>
      <w:r w:rsidRPr="00B0208A">
        <w:rPr>
          <w:sz w:val="20"/>
          <w:szCs w:val="20"/>
        </w:rPr>
        <w:t xml:space="preserve"> Queen et al.’s PolyGNN [116] and St. John et al.’s SchNet adaptation [130] demonstrated that graph-based representations consistently outperform traditional d</w:t>
      </w:r>
      <w:r w:rsidR="00443582">
        <w:rPr>
          <w:sz w:val="20"/>
          <w:szCs w:val="20"/>
        </w:rPr>
        <w:t xml:space="preserve">escriptors for predicting Tg </w:t>
      </w:r>
      <w:r w:rsidRPr="00B0208A">
        <w:rPr>
          <w:sz w:val="20"/>
          <w:szCs w:val="20"/>
        </w:rPr>
        <w:t>and electronic properties.</w:t>
      </w:r>
    </w:p>
    <w:p w:rsidR="00D61E0E" w:rsidRPr="00B0208A" w:rsidRDefault="00D61E0E" w:rsidP="0011578A">
      <w:pPr>
        <w:numPr>
          <w:ilvl w:val="0"/>
          <w:numId w:val="42"/>
        </w:numPr>
        <w:spacing w:after="0" w:line="360" w:lineRule="auto"/>
        <w:jc w:val="both"/>
        <w:rPr>
          <w:sz w:val="20"/>
          <w:szCs w:val="20"/>
        </w:rPr>
      </w:pPr>
      <w:r w:rsidRPr="00B0208A">
        <w:rPr>
          <w:b/>
          <w:bCs/>
          <w:sz w:val="20"/>
          <w:szCs w:val="20"/>
        </w:rPr>
        <w:t>Topological and Geometric Refinement:</w:t>
      </w:r>
      <w:r w:rsidRPr="00B0208A">
        <w:rPr>
          <w:sz w:val="20"/>
          <w:szCs w:val="20"/>
        </w:rPr>
        <w:t xml:space="preserve"> Recent work has pushed GNNs beyond simple connectivity. Shen et al. (2023) introduced a framework combining persistent homology with GNNs to capture multiscale topological features like loops and voids. To bridge the gap between topology and conformation, Fang et al. (2024) proposed a Line Graph Neural Network (LGNN) explicitly encoding bond and dihedral angles, achieving state-of-the-art performance in electronic property prediction.</w:t>
      </w:r>
    </w:p>
    <w:p w:rsidR="00D61E0E" w:rsidRPr="00B0208A" w:rsidRDefault="00D61E0E" w:rsidP="0011578A">
      <w:pPr>
        <w:numPr>
          <w:ilvl w:val="0"/>
          <w:numId w:val="42"/>
        </w:numPr>
        <w:spacing w:after="0" w:line="360" w:lineRule="auto"/>
        <w:jc w:val="both"/>
        <w:rPr>
          <w:sz w:val="20"/>
          <w:szCs w:val="20"/>
        </w:rPr>
      </w:pPr>
      <w:r w:rsidRPr="00B0208A">
        <w:rPr>
          <w:b/>
          <w:bCs/>
          <w:sz w:val="20"/>
          <w:szCs w:val="20"/>
        </w:rPr>
        <w:t>Mechanistic Insight:</w:t>
      </w:r>
      <w:r w:rsidRPr="00B0208A">
        <w:rPr>
          <w:sz w:val="20"/>
          <w:szCs w:val="20"/>
        </w:rPr>
        <w:t xml:space="preserve"> While GNNs excel at local features, they often suffer from </w:t>
      </w:r>
      <w:r w:rsidRPr="00B0208A">
        <w:rPr>
          <w:b/>
          <w:bCs/>
          <w:sz w:val="20"/>
          <w:szCs w:val="20"/>
        </w:rPr>
        <w:t>stochastic ensemble neglect</w:t>
      </w:r>
      <w:r w:rsidRPr="00B0208A">
        <w:rPr>
          <w:sz w:val="20"/>
          <w:szCs w:val="20"/>
        </w:rPr>
        <w:t>, struggling with long-range entanglements and phase-separation behaviors.</w:t>
      </w:r>
    </w:p>
    <w:p w:rsidR="00D61E0E" w:rsidRPr="00443582" w:rsidRDefault="00D61E0E" w:rsidP="00D61E0E">
      <w:pPr>
        <w:spacing w:before="240" w:after="0" w:line="360" w:lineRule="auto"/>
        <w:jc w:val="both"/>
        <w:rPr>
          <w:b/>
          <w:bCs/>
        </w:rPr>
      </w:pPr>
      <w:r w:rsidRPr="00443582">
        <w:rPr>
          <w:b/>
          <w:bCs/>
        </w:rPr>
        <w:t>5.2.2 Transformer-Based Sequence Logic</w:t>
      </w:r>
    </w:p>
    <w:p w:rsidR="00D61E0E" w:rsidRPr="00B0208A" w:rsidRDefault="00D61E0E" w:rsidP="00D61E0E">
      <w:pPr>
        <w:spacing w:after="0" w:line="360" w:lineRule="auto"/>
        <w:jc w:val="both"/>
        <w:rPr>
          <w:sz w:val="20"/>
          <w:szCs w:val="20"/>
        </w:rPr>
      </w:pPr>
      <w:r w:rsidRPr="00B0208A">
        <w:rPr>
          <w:sz w:val="20"/>
          <w:szCs w:val="20"/>
        </w:rPr>
        <w:t>To resolve local graph limitations, attention-based Transformers capture long-range monomer dependencies within BigSMILES or SMILES strings.</w:t>
      </w:r>
    </w:p>
    <w:p w:rsidR="00D61E0E" w:rsidRPr="00B0208A" w:rsidRDefault="00D61E0E" w:rsidP="0011578A">
      <w:pPr>
        <w:numPr>
          <w:ilvl w:val="0"/>
          <w:numId w:val="43"/>
        </w:numPr>
        <w:spacing w:after="0" w:line="360" w:lineRule="auto"/>
        <w:jc w:val="both"/>
        <w:rPr>
          <w:sz w:val="20"/>
          <w:szCs w:val="20"/>
        </w:rPr>
      </w:pPr>
      <w:r w:rsidRPr="00B0208A">
        <w:rPr>
          <w:b/>
          <w:bCs/>
          <w:sz w:val="20"/>
          <w:szCs w:val="20"/>
        </w:rPr>
        <w:t>Large Language Models (LLMs) and Pretraining:</w:t>
      </w:r>
      <w:r w:rsidRPr="00B0208A">
        <w:rPr>
          <w:sz w:val="20"/>
          <w:szCs w:val="20"/>
        </w:rPr>
        <w:t xml:space="preserve"> Kim et al. developed </w:t>
      </w:r>
      <w:r w:rsidRPr="00B0208A">
        <w:rPr>
          <w:b/>
          <w:bCs/>
          <w:sz w:val="20"/>
          <w:szCs w:val="20"/>
        </w:rPr>
        <w:t>PolyBERT</w:t>
      </w:r>
      <w:r w:rsidRPr="00B0208A">
        <w:rPr>
          <w:sz w:val="20"/>
          <w:szCs w:val="20"/>
        </w:rPr>
        <w:t xml:space="preserve">, a chemical language model pre-trained on vast polymer corpora, significantly outperforming fingerprint baselines. Yang et al. (2024) introduced </w:t>
      </w:r>
      <w:r w:rsidRPr="00B0208A">
        <w:rPr>
          <w:b/>
          <w:bCs/>
          <w:sz w:val="20"/>
          <w:szCs w:val="20"/>
        </w:rPr>
        <w:t>PolyGen</w:t>
      </w:r>
      <w:r w:rsidRPr="00B0208A">
        <w:rPr>
          <w:sz w:val="20"/>
          <w:szCs w:val="20"/>
        </w:rPr>
        <w:t>, a hybrid framework combining GPT-style autoregressive modeling with diffusion-based refinement. Furthermore, Gupta et al. (2023) benchmarked foundational LLMs, highlighting the "tokenization bottleneck" in standard NLP-centric approaches.</w:t>
      </w:r>
    </w:p>
    <w:p w:rsidR="00D61E0E" w:rsidRPr="00B0208A" w:rsidRDefault="00D61E0E" w:rsidP="0011578A">
      <w:pPr>
        <w:numPr>
          <w:ilvl w:val="0"/>
          <w:numId w:val="43"/>
        </w:numPr>
        <w:spacing w:after="0" w:line="360" w:lineRule="auto"/>
        <w:jc w:val="both"/>
        <w:rPr>
          <w:sz w:val="20"/>
          <w:szCs w:val="20"/>
        </w:rPr>
      </w:pPr>
      <w:r w:rsidRPr="00B0208A">
        <w:rPr>
          <w:b/>
          <w:bCs/>
          <w:sz w:val="20"/>
          <w:szCs w:val="20"/>
        </w:rPr>
        <w:lastRenderedPageBreak/>
        <w:t>Long-Range Correlation:</w:t>
      </w:r>
      <w:r w:rsidRPr="00B0208A">
        <w:rPr>
          <w:sz w:val="20"/>
          <w:szCs w:val="20"/>
        </w:rPr>
        <w:t xml:space="preserve"> PolymerTransformer [163] and TransTg [1] demonstrated that self-attention identifies non-local patterns dictating bulk thermal behavior.</w:t>
      </w:r>
    </w:p>
    <w:p w:rsidR="00D61E0E" w:rsidRPr="00B0208A" w:rsidRDefault="00D61E0E" w:rsidP="0011578A">
      <w:pPr>
        <w:numPr>
          <w:ilvl w:val="0"/>
          <w:numId w:val="43"/>
        </w:numPr>
        <w:spacing w:after="0" w:line="360" w:lineRule="auto"/>
        <w:jc w:val="both"/>
        <w:rPr>
          <w:sz w:val="20"/>
          <w:szCs w:val="20"/>
        </w:rPr>
      </w:pPr>
      <w:r w:rsidRPr="00B0208A">
        <w:rPr>
          <w:b/>
          <w:bCs/>
          <w:sz w:val="20"/>
          <w:szCs w:val="20"/>
        </w:rPr>
        <w:t>Current Limitations:</w:t>
      </w:r>
      <w:r w:rsidRPr="00B0208A">
        <w:rPr>
          <w:sz w:val="20"/>
          <w:szCs w:val="20"/>
        </w:rPr>
        <w:t xml:space="preserve"> These remain computationally intensive due to $O(N^2)$ scaling and frequently lack built-in chemical priors, limiting transferability.</w:t>
      </w:r>
    </w:p>
    <w:p w:rsidR="00D61E0E" w:rsidRPr="00443582" w:rsidRDefault="00D61E0E" w:rsidP="00D61E0E">
      <w:pPr>
        <w:spacing w:before="240" w:after="0" w:line="360" w:lineRule="auto"/>
        <w:jc w:val="both"/>
        <w:rPr>
          <w:b/>
          <w:bCs/>
        </w:rPr>
      </w:pPr>
      <w:r w:rsidRPr="00443582">
        <w:rPr>
          <w:b/>
          <w:bCs/>
        </w:rPr>
        <w:t>5.2.3 Hybrid Physics-ML and Multimodal Paradigms</w:t>
      </w:r>
    </w:p>
    <w:p w:rsidR="00D61E0E" w:rsidRPr="00B0208A" w:rsidRDefault="00D61E0E" w:rsidP="00D61E0E">
      <w:pPr>
        <w:spacing w:after="0" w:line="360" w:lineRule="auto"/>
        <w:jc w:val="both"/>
        <w:rPr>
          <w:sz w:val="20"/>
          <w:szCs w:val="20"/>
        </w:rPr>
      </w:pPr>
      <w:r w:rsidRPr="00B0208A">
        <w:rPr>
          <w:sz w:val="20"/>
          <w:szCs w:val="20"/>
        </w:rPr>
        <w:t>The current frontier involves architectures fusing disparate data streams or embedding physical laws directly into learning.</w:t>
      </w:r>
    </w:p>
    <w:p w:rsidR="00D61E0E" w:rsidRPr="00B0208A" w:rsidRDefault="00D61E0E" w:rsidP="0011578A">
      <w:pPr>
        <w:numPr>
          <w:ilvl w:val="0"/>
          <w:numId w:val="44"/>
        </w:numPr>
        <w:spacing w:after="0" w:line="360" w:lineRule="auto"/>
        <w:jc w:val="both"/>
        <w:rPr>
          <w:sz w:val="20"/>
          <w:szCs w:val="20"/>
        </w:rPr>
      </w:pPr>
      <w:r w:rsidRPr="00B0208A">
        <w:rPr>
          <w:b/>
          <w:bCs/>
          <w:sz w:val="20"/>
          <w:szCs w:val="20"/>
        </w:rPr>
        <w:t>Multimodal Fusion:</w:t>
      </w:r>
      <w:r w:rsidRPr="00B0208A">
        <w:rPr>
          <w:sz w:val="20"/>
          <w:szCs w:val="20"/>
        </w:rPr>
        <w:t xml:space="preserve"> Wang et al. (2023) proposed </w:t>
      </w:r>
      <w:r w:rsidRPr="00B0208A">
        <w:rPr>
          <w:b/>
          <w:bCs/>
          <w:sz w:val="20"/>
          <w:szCs w:val="20"/>
        </w:rPr>
        <w:t>MMPolymer</w:t>
      </w:r>
      <w:r w:rsidRPr="00B0208A">
        <w:rPr>
          <w:sz w:val="20"/>
          <w:szCs w:val="20"/>
        </w:rPr>
        <w:t xml:space="preserve">, a framework jointly learning from SMILES, graphs, and morphology images. Li et al. (2024) introduced </w:t>
      </w:r>
      <w:r w:rsidRPr="00B0208A">
        <w:rPr>
          <w:b/>
          <w:bCs/>
          <w:sz w:val="20"/>
          <w:szCs w:val="20"/>
        </w:rPr>
        <w:t>PolyFormer</w:t>
      </w:r>
      <w:r w:rsidRPr="00B0208A">
        <w:rPr>
          <w:sz w:val="20"/>
          <w:szCs w:val="20"/>
        </w:rPr>
        <w:t>, a unified Transformer utilizing prefix-tuning to ingest heterogeneous data. Wang et al. (2024) also developed architectures fusing experimental scattering (SAXS/AFM) with chemical graphs.</w:t>
      </w:r>
    </w:p>
    <w:p w:rsidR="00D61E0E" w:rsidRPr="00B0208A" w:rsidRDefault="00D61E0E" w:rsidP="0011578A">
      <w:pPr>
        <w:numPr>
          <w:ilvl w:val="0"/>
          <w:numId w:val="44"/>
        </w:numPr>
        <w:spacing w:after="0" w:line="360" w:lineRule="auto"/>
        <w:jc w:val="both"/>
        <w:rPr>
          <w:sz w:val="20"/>
          <w:szCs w:val="20"/>
        </w:rPr>
      </w:pPr>
      <w:r w:rsidRPr="00B0208A">
        <w:rPr>
          <w:b/>
          <w:bCs/>
          <w:sz w:val="20"/>
          <w:szCs w:val="20"/>
        </w:rPr>
        <w:t>Hybrid Physics-ML Models:</w:t>
      </w:r>
      <w:r w:rsidRPr="00B0208A">
        <w:rPr>
          <w:sz w:val="20"/>
          <w:szCs w:val="20"/>
        </w:rPr>
        <w:t xml:space="preserve"> To ground models in reality, Zhang et al. (2023) utilized DL to accelerate MD simulations, while Li et al. (2024) applied Physics-Informed Neural Networks (PINNs) to solve Cahn-Hilliard equations for phase separation, ensuring </w:t>
      </w:r>
      <w:r w:rsidRPr="00B0208A">
        <w:rPr>
          <w:b/>
          <w:bCs/>
          <w:sz w:val="20"/>
          <w:szCs w:val="20"/>
        </w:rPr>
        <w:t>thermodynamic consistency</w:t>
      </w:r>
      <w:r w:rsidRPr="00B0208A">
        <w:rPr>
          <w:sz w:val="20"/>
          <w:szCs w:val="20"/>
        </w:rPr>
        <w:t>.</w:t>
      </w:r>
    </w:p>
    <w:p w:rsidR="00D61E0E" w:rsidRPr="00443582" w:rsidRDefault="00D61E0E" w:rsidP="00D61E0E">
      <w:pPr>
        <w:spacing w:before="240" w:after="0" w:line="360" w:lineRule="auto"/>
        <w:jc w:val="both"/>
        <w:rPr>
          <w:b/>
          <w:bCs/>
        </w:rPr>
      </w:pPr>
      <w:r w:rsidRPr="00443582">
        <w:rPr>
          <w:b/>
          <w:bCs/>
        </w:rPr>
        <w:t>5.2.4 Synthesis and Architectural Lessons</w:t>
      </w:r>
    </w:p>
    <w:p w:rsidR="00D61E0E" w:rsidRPr="005551BF" w:rsidRDefault="00D61E0E" w:rsidP="00D61E0E">
      <w:pPr>
        <w:spacing w:after="0" w:line="360" w:lineRule="auto"/>
        <w:jc w:val="both"/>
        <w:rPr>
          <w:sz w:val="20"/>
          <w:szCs w:val="20"/>
        </w:rPr>
      </w:pPr>
      <w:r w:rsidRPr="00B0208A">
        <w:rPr>
          <w:sz w:val="20"/>
          <w:szCs w:val="20"/>
        </w:rPr>
        <w:t xml:space="preserve">The evolution from graph-based to transformer-based and multimodal architectures reveals consistent trade-offs. Graphs excel at local connectivity but struggle with long-range physics; transformers capture sequence context but lack inherent chemical priors; hybrids promise integration but face data-alignment challenges. </w:t>
      </w:r>
      <w:r w:rsidRPr="005551BF">
        <w:rPr>
          <w:sz w:val="20"/>
          <w:szCs w:val="20"/>
        </w:rPr>
        <w:t xml:space="preserve">The specific architectural innovations and persistent limitations of these paradigms are detailed </w:t>
      </w:r>
      <w:r w:rsidR="003C172F" w:rsidRPr="005551BF">
        <w:rPr>
          <w:sz w:val="20"/>
          <w:szCs w:val="20"/>
        </w:rPr>
        <w:t>in Table 13</w:t>
      </w:r>
      <w:r w:rsidRPr="005551BF">
        <w:rPr>
          <w:sz w:val="20"/>
          <w:szCs w:val="20"/>
        </w:rPr>
        <w:t>.</w:t>
      </w:r>
    </w:p>
    <w:p w:rsidR="00D61E0E" w:rsidRDefault="00D61E0E" w:rsidP="00D61E0E">
      <w:pPr>
        <w:spacing w:after="0" w:line="360" w:lineRule="auto"/>
        <w:jc w:val="both"/>
        <w:rPr>
          <w:b/>
          <w:bCs/>
        </w:rPr>
      </w:pPr>
    </w:p>
    <w:tbl>
      <w:tblPr>
        <w:tblStyle w:val="PlainTable1"/>
        <w:tblW w:w="0" w:type="auto"/>
        <w:tblLook w:val="04A0" w:firstRow="1" w:lastRow="0" w:firstColumn="1" w:lastColumn="0" w:noHBand="0" w:noVBand="1"/>
      </w:tblPr>
      <w:tblGrid>
        <w:gridCol w:w="1439"/>
        <w:gridCol w:w="2407"/>
        <w:gridCol w:w="1955"/>
        <w:gridCol w:w="1900"/>
        <w:gridCol w:w="1649"/>
      </w:tblGrid>
      <w:tr w:rsidR="00D61E0E" w:rsidRPr="002A0768" w:rsidTr="00D61E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D61E0E" w:rsidRPr="002A0768" w:rsidRDefault="00D61E0E" w:rsidP="002A0768">
            <w:pPr>
              <w:spacing w:line="276" w:lineRule="auto"/>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Paradigm</w:t>
            </w:r>
          </w:p>
        </w:tc>
        <w:tc>
          <w:tcPr>
            <w:tcW w:w="0" w:type="auto"/>
            <w:hideMark/>
          </w:tcPr>
          <w:p w:rsidR="00D61E0E" w:rsidRPr="002A0768" w:rsidRDefault="00D61E0E" w:rsidP="002A0768">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Representative Studies</w:t>
            </w:r>
          </w:p>
        </w:tc>
        <w:tc>
          <w:tcPr>
            <w:tcW w:w="0" w:type="auto"/>
            <w:hideMark/>
          </w:tcPr>
          <w:p w:rsidR="00D61E0E" w:rsidRPr="002A0768" w:rsidRDefault="00D61E0E" w:rsidP="002A0768">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Primary Strengths</w:t>
            </w:r>
          </w:p>
        </w:tc>
        <w:tc>
          <w:tcPr>
            <w:tcW w:w="0" w:type="auto"/>
            <w:hideMark/>
          </w:tcPr>
          <w:p w:rsidR="00D61E0E" w:rsidRPr="002A0768" w:rsidRDefault="00D61E0E" w:rsidP="002A0768">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Persistent Limitations</w:t>
            </w:r>
          </w:p>
        </w:tc>
        <w:tc>
          <w:tcPr>
            <w:tcW w:w="0" w:type="auto"/>
            <w:hideMark/>
          </w:tcPr>
          <w:p w:rsidR="00D61E0E" w:rsidRPr="002A0768" w:rsidRDefault="00D61E0E" w:rsidP="002A0768">
            <w:pPr>
              <w:spacing w:line="276" w:lineRule="auto"/>
              <w:jc w:val="both"/>
              <w:cnfStyle w:val="100000000000" w:firstRow="1" w:lastRow="0" w:firstColumn="0" w:lastColumn="0" w:oddVBand="0" w:evenVBand="0" w:oddHBand="0"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Gap Addressed</w:t>
            </w:r>
          </w:p>
        </w:tc>
      </w:tr>
      <w:tr w:rsidR="00D61E0E" w:rsidRPr="002A0768" w:rsidTr="00D61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D61E0E" w:rsidRPr="002A0768" w:rsidRDefault="00D61E0E" w:rsidP="002A0768">
            <w:pPr>
              <w:spacing w:line="276" w:lineRule="auto"/>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Graph-Based / Geometric</w:t>
            </w:r>
          </w:p>
        </w:tc>
        <w:tc>
          <w:tcPr>
            <w:tcW w:w="0" w:type="auto"/>
            <w:hideMark/>
          </w:tcPr>
          <w:p w:rsidR="00D61E0E" w:rsidRPr="002A0768" w:rsidRDefault="00D61E0E" w:rsidP="002A076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PolyGNN [116], SchNet [130], LGNN (2024), Topological DL (2023)</w:t>
            </w:r>
          </w:p>
        </w:tc>
        <w:tc>
          <w:tcPr>
            <w:tcW w:w="0" w:type="auto"/>
            <w:hideMark/>
          </w:tcPr>
          <w:p w:rsidR="00D61E0E" w:rsidRPr="002A0768" w:rsidRDefault="00D61E0E" w:rsidP="002A076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Local connectivity; 3D conformation; spatial reasoning</w:t>
            </w:r>
          </w:p>
        </w:tc>
        <w:tc>
          <w:tcPr>
            <w:tcW w:w="0" w:type="auto"/>
            <w:hideMark/>
          </w:tcPr>
          <w:p w:rsidR="00D61E0E" w:rsidRPr="002A0768" w:rsidRDefault="00D61E0E" w:rsidP="002A076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Long-range entanglements; stochastic ensemble neglect</w:t>
            </w:r>
          </w:p>
        </w:tc>
        <w:tc>
          <w:tcPr>
            <w:tcW w:w="0" w:type="auto"/>
            <w:hideMark/>
          </w:tcPr>
          <w:p w:rsidR="00D61E0E" w:rsidRPr="002A0768" w:rsidRDefault="00D61E0E" w:rsidP="002A0768">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Representation</w:t>
            </w:r>
          </w:p>
        </w:tc>
      </w:tr>
      <w:tr w:rsidR="00D61E0E" w:rsidRPr="002A0768" w:rsidTr="00D61E0E">
        <w:tc>
          <w:tcPr>
            <w:cnfStyle w:val="001000000000" w:firstRow="0" w:lastRow="0" w:firstColumn="1" w:lastColumn="0" w:oddVBand="0" w:evenVBand="0" w:oddHBand="0" w:evenHBand="0" w:firstRowFirstColumn="0" w:firstRowLastColumn="0" w:lastRowFirstColumn="0" w:lastRowLastColumn="0"/>
            <w:tcW w:w="0" w:type="auto"/>
            <w:hideMark/>
          </w:tcPr>
          <w:p w:rsidR="00D61E0E" w:rsidRPr="002A0768" w:rsidRDefault="00443582" w:rsidP="002A0768">
            <w:pPr>
              <w:spacing w:line="276" w:lineRule="auto"/>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Transformer</w:t>
            </w:r>
            <w:r w:rsidR="00D61E0E" w:rsidRPr="002A0768">
              <w:rPr>
                <w:rFonts w:eastAsia="Times New Roman" w:cstheme="minorHAnsi"/>
                <w:color w:val="1F1F1F"/>
                <w:sz w:val="20"/>
                <w:szCs w:val="20"/>
                <w:bdr w:val="none" w:sz="0" w:space="0" w:color="auto" w:frame="1"/>
              </w:rPr>
              <w:t>/ Sequence</w:t>
            </w:r>
          </w:p>
        </w:tc>
        <w:tc>
          <w:tcPr>
            <w:tcW w:w="0" w:type="auto"/>
            <w:hideMark/>
          </w:tcPr>
          <w:p w:rsidR="00D61E0E" w:rsidRPr="002A0768" w:rsidRDefault="00D61E0E" w:rsidP="002A076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PolymerTransformer [163], TransTg [1], PolyBERT [5,78], LLM Benchmarks (2023)</w:t>
            </w:r>
          </w:p>
        </w:tc>
        <w:tc>
          <w:tcPr>
            <w:tcW w:w="0" w:type="auto"/>
            <w:hideMark/>
          </w:tcPr>
          <w:p w:rsidR="00D61E0E" w:rsidRPr="002A0768" w:rsidRDefault="00D61E0E" w:rsidP="002A076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Long-range dependencies; copolymer sequence context</w:t>
            </w:r>
          </w:p>
        </w:tc>
        <w:tc>
          <w:tcPr>
            <w:tcW w:w="0" w:type="auto"/>
            <w:hideMark/>
          </w:tcPr>
          <w:p w:rsidR="00D61E0E" w:rsidRPr="002A0768" w:rsidRDefault="00D61E0E" w:rsidP="002A076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No inherent chemical priors; $O(N^2)$ computational scaling</w:t>
            </w:r>
          </w:p>
        </w:tc>
        <w:tc>
          <w:tcPr>
            <w:tcW w:w="0" w:type="auto"/>
            <w:hideMark/>
          </w:tcPr>
          <w:p w:rsidR="00D61E0E" w:rsidRPr="002A0768" w:rsidRDefault="00D61E0E" w:rsidP="002A0768">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Representation</w:t>
            </w:r>
          </w:p>
        </w:tc>
      </w:tr>
      <w:tr w:rsidR="00D61E0E" w:rsidRPr="002A0768" w:rsidTr="00D61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D61E0E" w:rsidRPr="002A0768" w:rsidRDefault="00D61E0E" w:rsidP="002A0768">
            <w:pPr>
              <w:spacing w:line="276" w:lineRule="auto"/>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Generative (VAE/GAN)</w:t>
            </w:r>
          </w:p>
        </w:tc>
        <w:tc>
          <w:tcPr>
            <w:tcW w:w="0" w:type="auto"/>
            <w:hideMark/>
          </w:tcPr>
          <w:p w:rsidR="00D61E0E" w:rsidRPr="002A0768" w:rsidRDefault="00D61E0E" w:rsidP="002A076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CVAE (2023), VAE-GAN [86], MolGAN [23]</w:t>
            </w:r>
          </w:p>
        </w:tc>
        <w:tc>
          <w:tcPr>
            <w:tcW w:w="0" w:type="auto"/>
            <w:hideMark/>
          </w:tcPr>
          <w:p w:rsidR="00D61E0E" w:rsidRPr="002A0768" w:rsidRDefault="00D61E0E" w:rsidP="002A076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Latent space navigation; property-conditioned design</w:t>
            </w:r>
          </w:p>
        </w:tc>
        <w:tc>
          <w:tcPr>
            <w:tcW w:w="0" w:type="auto"/>
            <w:hideMark/>
          </w:tcPr>
          <w:p w:rsidR="00D61E0E" w:rsidRPr="002A0768" w:rsidRDefault="00D61E0E" w:rsidP="002A076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Mode collapse; "blurred" structural outputs</w:t>
            </w:r>
          </w:p>
        </w:tc>
        <w:tc>
          <w:tcPr>
            <w:tcW w:w="0" w:type="auto"/>
            <w:hideMark/>
          </w:tcPr>
          <w:p w:rsidR="00D61E0E" w:rsidRPr="002A0768" w:rsidRDefault="00D61E0E" w:rsidP="002A0768">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Synthesizability</w:t>
            </w:r>
          </w:p>
        </w:tc>
      </w:tr>
      <w:tr w:rsidR="00D61E0E" w:rsidRPr="002A0768" w:rsidTr="00D61E0E">
        <w:tc>
          <w:tcPr>
            <w:cnfStyle w:val="001000000000" w:firstRow="0" w:lastRow="0" w:firstColumn="1" w:lastColumn="0" w:oddVBand="0" w:evenVBand="0" w:oddHBand="0" w:evenHBand="0" w:firstRowFirstColumn="0" w:firstRowLastColumn="0" w:lastRowFirstColumn="0" w:lastRowLastColumn="0"/>
            <w:tcW w:w="0" w:type="auto"/>
            <w:hideMark/>
          </w:tcPr>
          <w:p w:rsidR="00D61E0E" w:rsidRPr="002A0768" w:rsidRDefault="00D61E0E" w:rsidP="002A0768">
            <w:pPr>
              <w:spacing w:line="276" w:lineRule="auto"/>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Generative (Diffusion)</w:t>
            </w:r>
          </w:p>
        </w:tc>
        <w:tc>
          <w:tcPr>
            <w:tcW w:w="0" w:type="auto"/>
            <w:hideMark/>
          </w:tcPr>
          <w:p w:rsidR="00D61E0E" w:rsidRPr="002A0768" w:rsidRDefault="00D61E0E" w:rsidP="002A076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Graph Diffusion [146], DDPM (2024)</w:t>
            </w:r>
          </w:p>
        </w:tc>
        <w:tc>
          <w:tcPr>
            <w:tcW w:w="0" w:type="auto"/>
            <w:hideMark/>
          </w:tcPr>
          <w:p w:rsidR="00D61E0E" w:rsidRPr="002A0768" w:rsidRDefault="00D61E0E" w:rsidP="002A076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 xml:space="preserve">High diversity; stable training; superior </w:t>
            </w:r>
            <w:r w:rsidRPr="002A0768">
              <w:rPr>
                <w:rFonts w:eastAsia="Times New Roman" w:cstheme="minorHAnsi"/>
                <w:color w:val="1F1F1F"/>
                <w:sz w:val="20"/>
                <w:szCs w:val="20"/>
                <w:bdr w:val="none" w:sz="0" w:space="0" w:color="auto" w:frame="1"/>
              </w:rPr>
              <w:lastRenderedPageBreak/>
              <w:t>distributional alignment</w:t>
            </w:r>
          </w:p>
        </w:tc>
        <w:tc>
          <w:tcPr>
            <w:tcW w:w="0" w:type="auto"/>
            <w:hideMark/>
          </w:tcPr>
          <w:p w:rsidR="00D61E0E" w:rsidRPr="002A0768" w:rsidRDefault="00D61E0E" w:rsidP="002A076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lastRenderedPageBreak/>
              <w:t xml:space="preserve">High sampling latency; </w:t>
            </w:r>
            <w:r w:rsidRPr="002A0768">
              <w:rPr>
                <w:rFonts w:eastAsia="Times New Roman" w:cstheme="minorHAnsi"/>
                <w:color w:val="1F1F1F"/>
                <w:sz w:val="20"/>
                <w:szCs w:val="20"/>
                <w:bdr w:val="none" w:sz="0" w:space="0" w:color="auto" w:frame="1"/>
              </w:rPr>
              <w:lastRenderedPageBreak/>
              <w:t>synthesizability-physics gap</w:t>
            </w:r>
          </w:p>
        </w:tc>
        <w:tc>
          <w:tcPr>
            <w:tcW w:w="0" w:type="auto"/>
            <w:hideMark/>
          </w:tcPr>
          <w:p w:rsidR="00D61E0E" w:rsidRPr="002A0768" w:rsidRDefault="00D61E0E" w:rsidP="002A0768">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lastRenderedPageBreak/>
              <w:t>Synthesizability</w:t>
            </w:r>
          </w:p>
        </w:tc>
      </w:tr>
      <w:tr w:rsidR="00D61E0E" w:rsidRPr="002A0768" w:rsidTr="00D61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D61E0E" w:rsidRPr="002A0768" w:rsidRDefault="00D61E0E" w:rsidP="002A0768">
            <w:pPr>
              <w:spacing w:line="276" w:lineRule="auto"/>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lastRenderedPageBreak/>
              <w:t>Rule-Based Generation</w:t>
            </w:r>
          </w:p>
        </w:tc>
        <w:tc>
          <w:tcPr>
            <w:tcW w:w="0" w:type="auto"/>
            <w:hideMark/>
          </w:tcPr>
          <w:p w:rsidR="00D61E0E" w:rsidRPr="002A0768" w:rsidRDefault="00D61E0E" w:rsidP="002A076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Polyuniverse (2023)</w:t>
            </w:r>
          </w:p>
        </w:tc>
        <w:tc>
          <w:tcPr>
            <w:tcW w:w="0" w:type="auto"/>
            <w:hideMark/>
          </w:tcPr>
          <w:p w:rsidR="00D61E0E" w:rsidRPr="002A0768" w:rsidRDefault="00D61E0E" w:rsidP="002A076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Guaranteed synthetic validity; massive library scale</w:t>
            </w:r>
          </w:p>
        </w:tc>
        <w:tc>
          <w:tcPr>
            <w:tcW w:w="0" w:type="auto"/>
            <w:hideMark/>
          </w:tcPr>
          <w:p w:rsidR="00D61E0E" w:rsidRPr="002A0768" w:rsidRDefault="00D61E0E" w:rsidP="002A076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Rigid search space; limited to explicit heuristics</w:t>
            </w:r>
          </w:p>
        </w:tc>
        <w:tc>
          <w:tcPr>
            <w:tcW w:w="0" w:type="auto"/>
            <w:hideMark/>
          </w:tcPr>
          <w:p w:rsidR="00D61E0E" w:rsidRPr="002A0768" w:rsidRDefault="00D61E0E" w:rsidP="002A0768">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sz w:val="20"/>
                <w:szCs w:val="20"/>
                <w:bdr w:val="none" w:sz="0" w:space="0" w:color="auto" w:frame="1"/>
              </w:rPr>
            </w:pPr>
            <w:r w:rsidRPr="002A0768">
              <w:rPr>
                <w:rFonts w:eastAsia="Times New Roman" w:cstheme="minorHAnsi"/>
                <w:color w:val="1F1F1F"/>
                <w:sz w:val="20"/>
                <w:szCs w:val="20"/>
                <w:bdr w:val="none" w:sz="0" w:space="0" w:color="auto" w:frame="1"/>
              </w:rPr>
              <w:t>Representation,</w:t>
            </w:r>
          </w:p>
          <w:p w:rsidR="00D61E0E" w:rsidRPr="002A0768" w:rsidRDefault="00D61E0E" w:rsidP="002A0768">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Synthesizability</w:t>
            </w:r>
          </w:p>
        </w:tc>
      </w:tr>
      <w:tr w:rsidR="00D61E0E" w:rsidRPr="002A0768" w:rsidTr="00D61E0E">
        <w:tc>
          <w:tcPr>
            <w:cnfStyle w:val="001000000000" w:firstRow="0" w:lastRow="0" w:firstColumn="1" w:lastColumn="0" w:oddVBand="0" w:evenVBand="0" w:oddHBand="0" w:evenHBand="0" w:firstRowFirstColumn="0" w:firstRowLastColumn="0" w:lastRowFirstColumn="0" w:lastRowLastColumn="0"/>
            <w:tcW w:w="0" w:type="auto"/>
            <w:hideMark/>
          </w:tcPr>
          <w:p w:rsidR="00D61E0E" w:rsidRPr="002A0768" w:rsidRDefault="00D61E0E" w:rsidP="002A0768">
            <w:pPr>
              <w:spacing w:line="276" w:lineRule="auto"/>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Multimodal Fusion</w:t>
            </w:r>
          </w:p>
        </w:tc>
        <w:tc>
          <w:tcPr>
            <w:tcW w:w="0" w:type="auto"/>
            <w:hideMark/>
          </w:tcPr>
          <w:p w:rsidR="00D61E0E" w:rsidRPr="002A0768" w:rsidRDefault="00D61E0E" w:rsidP="002A076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Uni-Poly [57], MMPolymer (2023), SAXS+AFM Fusion (2024), PolyFormer (2024)</w:t>
            </w:r>
          </w:p>
        </w:tc>
        <w:tc>
          <w:tcPr>
            <w:tcW w:w="0" w:type="auto"/>
            <w:hideMark/>
          </w:tcPr>
          <w:p w:rsidR="00D61E0E" w:rsidRPr="002A0768" w:rsidRDefault="00D61E0E" w:rsidP="002A076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Holistic cross-modal reasoning; image-structure alignment</w:t>
            </w:r>
          </w:p>
        </w:tc>
        <w:tc>
          <w:tcPr>
            <w:tcW w:w="0" w:type="auto"/>
            <w:hideMark/>
          </w:tcPr>
          <w:p w:rsidR="00D61E0E" w:rsidRPr="002A0768" w:rsidRDefault="00D61E0E" w:rsidP="002A076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Data heterogeneity; metadata scarcity; alignment noise</w:t>
            </w:r>
          </w:p>
        </w:tc>
        <w:tc>
          <w:tcPr>
            <w:tcW w:w="0" w:type="auto"/>
            <w:hideMark/>
          </w:tcPr>
          <w:p w:rsidR="00D61E0E" w:rsidRPr="002A0768" w:rsidRDefault="00D61E0E" w:rsidP="002A0768">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Representation, Interpretability</w:t>
            </w:r>
          </w:p>
        </w:tc>
      </w:tr>
      <w:tr w:rsidR="00D61E0E" w:rsidRPr="002A0768" w:rsidTr="00D61E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D61E0E" w:rsidRPr="002A0768" w:rsidRDefault="00D61E0E" w:rsidP="002A0768">
            <w:pPr>
              <w:spacing w:line="276" w:lineRule="auto"/>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Physics-Informed ML</w:t>
            </w:r>
          </w:p>
        </w:tc>
        <w:tc>
          <w:tcPr>
            <w:tcW w:w="0" w:type="auto"/>
            <w:hideMark/>
          </w:tcPr>
          <w:p w:rsidR="00D61E0E" w:rsidRPr="002A0768" w:rsidRDefault="00D61E0E" w:rsidP="002A076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Hybrid MD/SCFT (2023), PINN Phase Field (2024)</w:t>
            </w:r>
          </w:p>
        </w:tc>
        <w:tc>
          <w:tcPr>
            <w:tcW w:w="0" w:type="auto"/>
            <w:hideMark/>
          </w:tcPr>
          <w:p w:rsidR="00D61E0E" w:rsidRPr="002A0768" w:rsidRDefault="00D61E0E" w:rsidP="002A076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Thermodynamic consistency; performance in data-sparse regimes</w:t>
            </w:r>
          </w:p>
        </w:tc>
        <w:tc>
          <w:tcPr>
            <w:tcW w:w="0" w:type="auto"/>
            <w:hideMark/>
          </w:tcPr>
          <w:p w:rsidR="00D61E0E" w:rsidRPr="002A0768" w:rsidRDefault="00D61E0E" w:rsidP="002A076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Differentiable physics scaling; limited generalization</w:t>
            </w:r>
          </w:p>
        </w:tc>
        <w:tc>
          <w:tcPr>
            <w:tcW w:w="0" w:type="auto"/>
            <w:hideMark/>
          </w:tcPr>
          <w:p w:rsidR="00D61E0E" w:rsidRPr="002A0768" w:rsidRDefault="00D61E0E" w:rsidP="002A0768">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Physics Integration</w:t>
            </w:r>
          </w:p>
        </w:tc>
      </w:tr>
      <w:tr w:rsidR="00D61E0E" w:rsidRPr="002A0768" w:rsidTr="00D61E0E">
        <w:tc>
          <w:tcPr>
            <w:cnfStyle w:val="001000000000" w:firstRow="0" w:lastRow="0" w:firstColumn="1" w:lastColumn="0" w:oddVBand="0" w:evenVBand="0" w:oddHBand="0" w:evenHBand="0" w:firstRowFirstColumn="0" w:firstRowLastColumn="0" w:lastRowFirstColumn="0" w:lastRowLastColumn="0"/>
            <w:tcW w:w="0" w:type="auto"/>
            <w:hideMark/>
          </w:tcPr>
          <w:p w:rsidR="00D61E0E" w:rsidRPr="002A0768" w:rsidRDefault="00D61E0E" w:rsidP="002A0768">
            <w:pPr>
              <w:spacing w:line="276" w:lineRule="auto"/>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Closed-Loop Discovery</w:t>
            </w:r>
          </w:p>
        </w:tc>
        <w:tc>
          <w:tcPr>
            <w:tcW w:w="0" w:type="auto"/>
            <w:hideMark/>
          </w:tcPr>
          <w:p w:rsidR="00D61E0E" w:rsidRPr="002A0768" w:rsidRDefault="00D61E0E" w:rsidP="002A076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Self-Improvable Framework (2024), Self-Driving Lab (2024)</w:t>
            </w:r>
          </w:p>
        </w:tc>
        <w:tc>
          <w:tcPr>
            <w:tcW w:w="0" w:type="auto"/>
            <w:hideMark/>
          </w:tcPr>
          <w:p w:rsidR="00D61E0E" w:rsidRPr="002A0768" w:rsidRDefault="00D61E0E" w:rsidP="002A076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Iterative search refinement; experimental feedback</w:t>
            </w:r>
          </w:p>
        </w:tc>
        <w:tc>
          <w:tcPr>
            <w:tcW w:w="0" w:type="auto"/>
            <w:hideMark/>
          </w:tcPr>
          <w:p w:rsidR="00D61E0E" w:rsidRPr="002A0768" w:rsidRDefault="00D61E0E" w:rsidP="002A076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Infrastructure intensive; system-specific deployment</w:t>
            </w:r>
          </w:p>
        </w:tc>
        <w:tc>
          <w:tcPr>
            <w:tcW w:w="0" w:type="auto"/>
            <w:hideMark/>
          </w:tcPr>
          <w:p w:rsidR="00D61E0E" w:rsidRPr="002A0768" w:rsidRDefault="00D61E0E" w:rsidP="002A0768">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sz w:val="20"/>
                <w:szCs w:val="20"/>
              </w:rPr>
            </w:pPr>
            <w:r w:rsidRPr="002A0768">
              <w:rPr>
                <w:rFonts w:eastAsia="Times New Roman" w:cstheme="minorHAnsi"/>
                <w:color w:val="1F1F1F"/>
                <w:sz w:val="20"/>
                <w:szCs w:val="20"/>
                <w:bdr w:val="none" w:sz="0" w:space="0" w:color="auto" w:frame="1"/>
              </w:rPr>
              <w:t>Validation Chasm</w:t>
            </w:r>
          </w:p>
        </w:tc>
      </w:tr>
    </w:tbl>
    <w:p w:rsidR="00D61E0E" w:rsidRDefault="005551BF" w:rsidP="00D61E0E">
      <w:pPr>
        <w:spacing w:after="0" w:line="360" w:lineRule="auto"/>
        <w:jc w:val="both"/>
        <w:rPr>
          <w:b/>
          <w:bCs/>
        </w:rPr>
      </w:pPr>
      <w:r>
        <w:rPr>
          <w:b/>
          <w:bCs/>
          <w:noProof/>
        </w:rPr>
        <mc:AlternateContent>
          <mc:Choice Requires="wps">
            <w:drawing>
              <wp:anchor distT="0" distB="0" distL="114300" distR="114300" simplePos="0" relativeHeight="251659264" behindDoc="0" locked="0" layoutInCell="1" allowOverlap="1" wp14:anchorId="6D2D7342" wp14:editId="03ABA557">
                <wp:simplePos x="0" y="0"/>
                <wp:positionH relativeFrom="margin">
                  <wp:align>left</wp:align>
                </wp:positionH>
                <wp:positionV relativeFrom="paragraph">
                  <wp:posOffset>33020</wp:posOffset>
                </wp:positionV>
                <wp:extent cx="6000750" cy="10001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6000750" cy="1000125"/>
                        </a:xfrm>
                        <a:prstGeom prst="rect">
                          <a:avLst/>
                        </a:prstGeom>
                        <a:solidFill>
                          <a:schemeClr val="lt1"/>
                        </a:solidFill>
                        <a:ln w="6350">
                          <a:noFill/>
                        </a:ln>
                      </wps:spPr>
                      <wps:txbx>
                        <w:txbxContent>
                          <w:p w:rsidR="005562ED" w:rsidRPr="000D3BA7" w:rsidRDefault="005562ED" w:rsidP="002A0768">
                            <w:pPr>
                              <w:spacing w:after="0"/>
                              <w:jc w:val="both"/>
                              <w:rPr>
                                <w:sz w:val="18"/>
                                <w:szCs w:val="18"/>
                              </w:rPr>
                            </w:pPr>
                            <w:r w:rsidRPr="002A0768">
                              <w:rPr>
                                <w:b/>
                                <w:bCs/>
                                <w:sz w:val="18"/>
                                <w:szCs w:val="18"/>
                              </w:rPr>
                              <w:t>Table 13.</w:t>
                            </w:r>
                            <w:r w:rsidRPr="002A0768">
                              <w:rPr>
                                <w:sz w:val="18"/>
                                <w:szCs w:val="18"/>
                              </w:rPr>
                              <w:t xml:space="preserve"> </w:t>
                            </w:r>
                            <w:r w:rsidRPr="000D3BA7">
                              <w:rPr>
                                <w:sz w:val="18"/>
                                <w:szCs w:val="18"/>
                              </w:rPr>
                              <w:t>Representative deep learning architectures and frameworks in polymer informatics (2023–2025), categorized by computational paradigm. This survey covers Graph-Based, Transformer, Generative (VAE/GAN, Diffusion, Rule-Based), Multimodal, Physics-Informed, and Closed-Loop approaches. It highlights primary strengths and persistent limitations for each paradigm and explicitly maps them to the specific methodological gaps they address—such as Representation, Synthesizability, Physics Integration, or the Validation Chasm—thereby illustrating how current advances target the foundational challenges in the field.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D7342" id="Text Box 1" o:spid="_x0000_s1042" type="#_x0000_t202" style="position:absolute;left:0;text-align:left;margin-left:0;margin-top:2.6pt;width:472.5pt;height:78.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molQQIAAIIEAAAOAAAAZHJzL2Uyb0RvYy54bWysVMtu2zAQvBfoPxC8N5LdPFojcuAmSFHA&#10;SAI4Rc40RVkCKC5L0pbcr++Qkh037anohdoXl7szu7q+6VvNdsr5hkzBJ2c5Z8pIKhuzKfj35/sP&#10;nzjzQZhSaDKq4Hvl+c38/bvrzs7UlGrSpXIMSYyfdbbgdQh2lmVe1qoV/oysMnBW5FoRoLpNVjrR&#10;IXurs2meX2YdudI6ksp7WO8GJ5+n/FWlZHisKq8C0wVHbSGdLp3reGbzazHbOGHrRo5liH+oohWN&#10;waPHVHciCLZ1zR+p2kY68lSFM0ltRlXVSJV6QDeT/E03q1pYlXoBON4eYfL/L6182D051pTgjjMj&#10;WlD0rPrAvlDPJhGdzvoZglYWYaGHOUaOdg9jbLqvXBu/aIfBD5z3R2xjMgnjZZ7nVxdwSfgmUCbT&#10;i5gne71unQ9fFbUsCgV3IC9hKnZLH4bQQ0h8zZNuyvtG66TEgVG32rGdANU6pCKR/LcobViHUj6i&#10;jnjJULw+ZNYGtcRmh6aiFPp1P0Bzeeh4TeUeQDgaBslbed+g2KXw4Uk4TA4axDaERxyVJjxGo8RZ&#10;Te7n3+wxHoTCy1mHSSy4/7EVTnGmvxlQ/Xlyfh5HNynnF1dTKO7Usz71mG17S0AAdKK6JMb4oA9i&#10;5ah9wdIs4qtwCSPxdsHDQbwNw35g6aRaLFIQhtWKsDQrK2PqCF6k4rl/Ec6OfAVQ/UCHmRWzN7QN&#10;sQPsi22gqkmcRqAHVEf8MehpKsaljJt0qqeo11/H/BcAAAD//wMAUEsDBBQABgAIAAAAIQCZ3qmO&#10;3QAAAAYBAAAPAAAAZHJzL2Rvd25yZXYueG1sTI9BT4NAFITvJv0Pm9fEi7GLVNqKLI0xahNvFrXx&#10;tmWfQGTfEnYL+O99nvQ4mcnMN9l2sq0YsPeNIwVXiwgEUulMQ5WC1+LxcgPCB01Gt45QwTd62Oaz&#10;s0ynxo30gsM+VIJLyKdaQR1Cl0rpyxqt9gvXIbH36XqrA8u+kqbXI5fbVsZRtJJWN8QLte7wvsby&#10;a3+yCj4uqsOzn57exmWy7B52Q7F+N4VS5/Pp7hZEwCn8heEXn9EhZ6ajO5HxolXAR4KCJAbB5s11&#10;wvrIqVW8Bpln8j9+/gMAAP//AwBQSwECLQAUAAYACAAAACEAtoM4kv4AAADhAQAAEwAAAAAAAAAA&#10;AAAAAAAAAAAAW0NvbnRlbnRfVHlwZXNdLnhtbFBLAQItABQABgAIAAAAIQA4/SH/1gAAAJQBAAAL&#10;AAAAAAAAAAAAAAAAAC8BAABfcmVscy8ucmVsc1BLAQItABQABgAIAAAAIQBxMmolQQIAAIIEAAAO&#10;AAAAAAAAAAAAAAAAAC4CAABkcnMvZTJvRG9jLnhtbFBLAQItABQABgAIAAAAIQCZ3qmO3QAAAAYB&#10;AAAPAAAAAAAAAAAAAAAAAJsEAABkcnMvZG93bnJldi54bWxQSwUGAAAAAAQABADzAAAApQUAAAAA&#10;" fillcolor="white [3201]" stroked="f" strokeweight=".5pt">
                <v:textbox>
                  <w:txbxContent>
                    <w:p w:rsidR="005562ED" w:rsidRPr="000D3BA7" w:rsidRDefault="005562ED" w:rsidP="002A0768">
                      <w:pPr>
                        <w:spacing w:after="0"/>
                        <w:jc w:val="both"/>
                        <w:rPr>
                          <w:sz w:val="18"/>
                          <w:szCs w:val="18"/>
                        </w:rPr>
                      </w:pPr>
                      <w:r w:rsidRPr="002A0768">
                        <w:rPr>
                          <w:b/>
                          <w:bCs/>
                          <w:sz w:val="18"/>
                          <w:szCs w:val="18"/>
                        </w:rPr>
                        <w:t>Table 13.</w:t>
                      </w:r>
                      <w:r w:rsidRPr="002A0768">
                        <w:rPr>
                          <w:sz w:val="18"/>
                          <w:szCs w:val="18"/>
                        </w:rPr>
                        <w:t xml:space="preserve"> </w:t>
                      </w:r>
                      <w:r w:rsidRPr="000D3BA7">
                        <w:rPr>
                          <w:sz w:val="18"/>
                          <w:szCs w:val="18"/>
                        </w:rPr>
                        <w:t>Representative deep learning architectures and frameworks in polymer informatics (2023–2025), categorized by computational paradigm. This survey covers Graph-Based, Transformer, Generative (VAE/GAN, Diffusion, Rule-Based), Multimodal, Physics-Informed, and Closed-Loop approaches. It highlights primary strengths and persistent limitations for each paradigm and explicitly maps them to the specific methodological gaps they address—such as Representation, Synthesizability, Physics Integration, or the Validation Chasm—thereby illustrating how current advances target the foundational challenges in the field.</w:t>
                      </w:r>
                    </w:p>
                  </w:txbxContent>
                </v:textbox>
                <w10:wrap anchorx="margin"/>
              </v:shape>
            </w:pict>
          </mc:Fallback>
        </mc:AlternateContent>
      </w:r>
    </w:p>
    <w:p w:rsidR="00D61E0E" w:rsidRDefault="00D61E0E" w:rsidP="00D61E0E">
      <w:pPr>
        <w:spacing w:after="0" w:line="360" w:lineRule="auto"/>
        <w:jc w:val="both"/>
        <w:rPr>
          <w:b/>
          <w:bCs/>
        </w:rPr>
      </w:pPr>
    </w:p>
    <w:p w:rsidR="00D61E0E" w:rsidRDefault="00D61E0E" w:rsidP="00D61E0E">
      <w:pPr>
        <w:spacing w:after="0" w:line="360" w:lineRule="auto"/>
        <w:jc w:val="both"/>
        <w:rPr>
          <w:b/>
          <w:bCs/>
        </w:rPr>
      </w:pPr>
    </w:p>
    <w:p w:rsidR="005551BF" w:rsidRDefault="005551BF" w:rsidP="00D61E0E">
      <w:pPr>
        <w:spacing w:after="0" w:line="360" w:lineRule="auto"/>
        <w:jc w:val="both"/>
        <w:rPr>
          <w:b/>
          <w:bCs/>
          <w:sz w:val="20"/>
          <w:szCs w:val="20"/>
        </w:rPr>
      </w:pPr>
    </w:p>
    <w:p w:rsidR="005551BF" w:rsidRDefault="005551BF" w:rsidP="00D61E0E">
      <w:pPr>
        <w:spacing w:after="0" w:line="360" w:lineRule="auto"/>
        <w:jc w:val="both"/>
        <w:rPr>
          <w:b/>
          <w:bCs/>
          <w:sz w:val="20"/>
          <w:szCs w:val="20"/>
        </w:rPr>
      </w:pPr>
    </w:p>
    <w:p w:rsidR="00D61E0E" w:rsidRPr="00B0208A" w:rsidRDefault="00D61E0E" w:rsidP="00D61E0E">
      <w:pPr>
        <w:spacing w:after="0" w:line="360" w:lineRule="auto"/>
        <w:jc w:val="both"/>
        <w:rPr>
          <w:b/>
          <w:bCs/>
          <w:sz w:val="20"/>
          <w:szCs w:val="20"/>
        </w:rPr>
      </w:pPr>
      <w:r w:rsidRPr="00B0208A">
        <w:rPr>
          <w:b/>
          <w:bCs/>
          <w:sz w:val="20"/>
          <w:szCs w:val="20"/>
        </w:rPr>
        <w:t>5.3 Strategies for Data-Scarce Regimes</w:t>
      </w:r>
    </w:p>
    <w:p w:rsidR="00D61E0E" w:rsidRPr="00B0208A" w:rsidRDefault="00D61E0E" w:rsidP="00D61E0E">
      <w:pPr>
        <w:spacing w:after="0" w:line="360" w:lineRule="auto"/>
        <w:jc w:val="both"/>
        <w:rPr>
          <w:sz w:val="20"/>
          <w:szCs w:val="20"/>
        </w:rPr>
      </w:pPr>
      <w:r w:rsidRPr="00B0208A">
        <w:rPr>
          <w:sz w:val="20"/>
          <w:szCs w:val="20"/>
        </w:rPr>
        <w:t>Because deep learning is data-intensive, the field evolved two strategies to bypass the "small data" bottleneck:</w:t>
      </w:r>
    </w:p>
    <w:p w:rsidR="00D61E0E" w:rsidRPr="00B0208A" w:rsidRDefault="00D61E0E" w:rsidP="00D61E0E">
      <w:pPr>
        <w:spacing w:after="0" w:line="360" w:lineRule="auto"/>
        <w:ind w:left="720"/>
        <w:jc w:val="both"/>
        <w:rPr>
          <w:sz w:val="20"/>
          <w:szCs w:val="20"/>
        </w:rPr>
      </w:pPr>
    </w:p>
    <w:p w:rsidR="00D61E0E" w:rsidRPr="00B0208A" w:rsidRDefault="00D61E0E" w:rsidP="0011578A">
      <w:pPr>
        <w:numPr>
          <w:ilvl w:val="0"/>
          <w:numId w:val="45"/>
        </w:numPr>
        <w:spacing w:after="0" w:line="360" w:lineRule="auto"/>
        <w:jc w:val="both"/>
        <w:rPr>
          <w:sz w:val="20"/>
          <w:szCs w:val="20"/>
        </w:rPr>
      </w:pPr>
      <w:r w:rsidRPr="00B0208A">
        <w:rPr>
          <w:b/>
          <w:bCs/>
          <w:sz w:val="20"/>
          <w:szCs w:val="20"/>
        </w:rPr>
        <w:t>Literature Mining:</w:t>
      </w:r>
      <w:r w:rsidRPr="00B0208A">
        <w:rPr>
          <w:sz w:val="20"/>
          <w:szCs w:val="20"/>
        </w:rPr>
        <w:t xml:space="preserve"> Kim et al. [72] pioneered automated extraction of polymer properties from scientific articles. While recent ChemDataExtractor adaptations improved coverage, corpora still suffer from noise and nomenclature ambiguity.</w:t>
      </w:r>
    </w:p>
    <w:p w:rsidR="00D61E0E" w:rsidRPr="00B0208A" w:rsidRDefault="00D61E0E" w:rsidP="0011578A">
      <w:pPr>
        <w:numPr>
          <w:ilvl w:val="0"/>
          <w:numId w:val="45"/>
        </w:numPr>
        <w:spacing w:after="0" w:line="360" w:lineRule="auto"/>
        <w:jc w:val="both"/>
        <w:rPr>
          <w:sz w:val="20"/>
          <w:szCs w:val="20"/>
        </w:rPr>
      </w:pPr>
      <w:r w:rsidRPr="00B0208A">
        <w:rPr>
          <w:b/>
          <w:bCs/>
          <w:sz w:val="20"/>
          <w:szCs w:val="20"/>
        </w:rPr>
        <w:t>Self-Supervised Learning (SSL):</w:t>
      </w:r>
      <w:r w:rsidRPr="00B0208A">
        <w:rPr>
          <w:sz w:val="20"/>
          <w:szCs w:val="20"/>
        </w:rPr>
        <w:t xml:space="preserve"> Gao et al. [39] applied contrastive pre-training to unlabeled sequences. Frameworks like GraphCL and MolCLR demonstrate that SSL reduces label requirements by 1–2 orders of magnitude.</w:t>
      </w:r>
    </w:p>
    <w:p w:rsidR="00D61E0E" w:rsidRPr="00443582" w:rsidRDefault="00D61E0E" w:rsidP="00D61E0E">
      <w:pPr>
        <w:spacing w:before="240" w:after="0" w:line="360" w:lineRule="auto"/>
        <w:jc w:val="both"/>
        <w:rPr>
          <w:b/>
          <w:bCs/>
        </w:rPr>
      </w:pPr>
      <w:r w:rsidRPr="00443582">
        <w:rPr>
          <w:b/>
          <w:bCs/>
        </w:rPr>
        <w:t>5.4 The Generative Turn: Navigating Design Space</w:t>
      </w:r>
    </w:p>
    <w:p w:rsidR="00D61E0E" w:rsidRPr="00B0208A" w:rsidRDefault="00D61E0E" w:rsidP="00D61E0E">
      <w:pPr>
        <w:spacing w:after="0" w:line="360" w:lineRule="auto"/>
        <w:jc w:val="both"/>
        <w:rPr>
          <w:sz w:val="20"/>
          <w:szCs w:val="20"/>
        </w:rPr>
      </w:pPr>
      <w:r w:rsidRPr="00B0208A">
        <w:rPr>
          <w:sz w:val="20"/>
          <w:szCs w:val="20"/>
        </w:rPr>
        <w:t>Generative design explores the inverse mapping: $g(\text{target property}) \to \text{candidate structure}$.</w:t>
      </w:r>
    </w:p>
    <w:p w:rsidR="00D61E0E" w:rsidRPr="00443582" w:rsidRDefault="00D61E0E" w:rsidP="0011578A">
      <w:pPr>
        <w:numPr>
          <w:ilvl w:val="0"/>
          <w:numId w:val="46"/>
        </w:numPr>
        <w:spacing w:after="0" w:line="360" w:lineRule="auto"/>
        <w:jc w:val="both"/>
        <w:rPr>
          <w:sz w:val="20"/>
          <w:szCs w:val="20"/>
        </w:rPr>
      </w:pPr>
      <w:r w:rsidRPr="00B0208A">
        <w:rPr>
          <w:b/>
          <w:bCs/>
          <w:sz w:val="20"/>
          <w:szCs w:val="20"/>
        </w:rPr>
        <w:t>Inverse Design Paradigms:</w:t>
      </w:r>
      <w:r w:rsidRPr="00B0208A">
        <w:rPr>
          <w:sz w:val="20"/>
          <w:szCs w:val="20"/>
        </w:rPr>
        <w:t xml:space="preserve"> </w:t>
      </w:r>
      <w:r w:rsidRPr="00443582">
        <w:rPr>
          <w:sz w:val="20"/>
          <w:szCs w:val="20"/>
        </w:rPr>
        <w:t>Recent work has shifted toward graph diffusion models [146] for navigating complex architectures, offering superior distributional alignment compared to GANs. Khajeh et al. (2023) implemented Conditional VAEs for electrolytes, while Qiu et al. proposed frameworks balancing validity and synthetic feasibility. Yue et al. (2023) developed Polyuniverse, a rule-based engine generating millions of synthetically accessible candidates to bridge the synthesizability gap.</w:t>
      </w:r>
    </w:p>
    <w:p w:rsidR="00D61E0E" w:rsidRPr="00443582" w:rsidRDefault="00D61E0E" w:rsidP="00D61E0E">
      <w:pPr>
        <w:spacing w:before="240" w:after="0" w:line="360" w:lineRule="auto"/>
        <w:jc w:val="both"/>
        <w:rPr>
          <w:b/>
          <w:bCs/>
        </w:rPr>
      </w:pPr>
      <w:r w:rsidRPr="00443582">
        <w:rPr>
          <w:b/>
          <w:bCs/>
        </w:rPr>
        <w:lastRenderedPageBreak/>
        <w:t>5.5 Processing and Perception: Closing the Loop</w:t>
      </w:r>
    </w:p>
    <w:p w:rsidR="00D61E0E" w:rsidRPr="00B0208A" w:rsidRDefault="00D61E0E" w:rsidP="00D61E0E">
      <w:pPr>
        <w:spacing w:after="0" w:line="360" w:lineRule="auto"/>
        <w:jc w:val="both"/>
        <w:rPr>
          <w:sz w:val="20"/>
          <w:szCs w:val="20"/>
        </w:rPr>
      </w:pPr>
      <w:r w:rsidRPr="00B0208A">
        <w:rPr>
          <w:sz w:val="20"/>
          <w:szCs w:val="20"/>
        </w:rPr>
        <w:t>Deep learning increasingly bridges molecular design with manufacturing and characterization.</w:t>
      </w:r>
    </w:p>
    <w:p w:rsidR="00D61E0E" w:rsidRDefault="00D61E0E" w:rsidP="0011578A">
      <w:pPr>
        <w:numPr>
          <w:ilvl w:val="0"/>
          <w:numId w:val="47"/>
        </w:numPr>
        <w:spacing w:after="0" w:line="360" w:lineRule="auto"/>
        <w:jc w:val="both"/>
        <w:rPr>
          <w:sz w:val="20"/>
          <w:szCs w:val="20"/>
        </w:rPr>
      </w:pPr>
      <w:r w:rsidRPr="00B0208A">
        <w:rPr>
          <w:b/>
          <w:bCs/>
          <w:sz w:val="20"/>
          <w:szCs w:val="20"/>
        </w:rPr>
        <w:t>Process Modeling:</w:t>
      </w:r>
      <w:r w:rsidRPr="00B0208A">
        <w:rPr>
          <w:sz w:val="20"/>
          <w:szCs w:val="20"/>
        </w:rPr>
        <w:t xml:space="preserve"> Models link chemistry to manufacturing by addressing extrusion, curing, and rheology [93].</w:t>
      </w:r>
    </w:p>
    <w:p w:rsidR="00D61E0E" w:rsidRPr="00A50D85" w:rsidRDefault="00D61E0E" w:rsidP="0011578A">
      <w:pPr>
        <w:numPr>
          <w:ilvl w:val="0"/>
          <w:numId w:val="47"/>
        </w:numPr>
        <w:spacing w:after="0" w:line="360" w:lineRule="auto"/>
        <w:jc w:val="both"/>
        <w:rPr>
          <w:sz w:val="20"/>
          <w:szCs w:val="20"/>
        </w:rPr>
      </w:pPr>
      <w:r w:rsidRPr="00A50D85">
        <w:rPr>
          <w:b/>
          <w:bCs/>
          <w:sz w:val="20"/>
          <w:szCs w:val="20"/>
        </w:rPr>
        <w:t>Automated Perception and Closed Loops:</w:t>
      </w:r>
      <w:r w:rsidRPr="00A50D85">
        <w:rPr>
          <w:sz w:val="20"/>
          <w:szCs w:val="20"/>
        </w:rPr>
        <w:t xml:space="preserve"> CNNs and vision transformers interpret SEM and AFM morphologies. Zhao et al. (2024) demonstrated a "self-driving lab" for polymer dielectrics using Bayesian optimization and robotics, effectively bridging the simulation-to-reality gap and addressing the Validation Chasm (see Table </w:t>
      </w:r>
      <w:r w:rsidR="002A0768" w:rsidRPr="00A50D85">
        <w:rPr>
          <w:sz w:val="20"/>
          <w:szCs w:val="20"/>
        </w:rPr>
        <w:t>13</w:t>
      </w:r>
      <w:r w:rsidRPr="00A50D85">
        <w:rPr>
          <w:sz w:val="20"/>
          <w:szCs w:val="20"/>
        </w:rPr>
        <w:t>).</w:t>
      </w:r>
    </w:p>
    <w:p w:rsidR="00D61E0E" w:rsidRPr="00443582" w:rsidRDefault="00D61E0E" w:rsidP="00D61E0E">
      <w:pPr>
        <w:spacing w:before="240" w:after="0" w:line="360" w:lineRule="auto"/>
        <w:jc w:val="both"/>
        <w:rPr>
          <w:b/>
          <w:bCs/>
        </w:rPr>
      </w:pPr>
      <w:r w:rsidRPr="00443582">
        <w:rPr>
          <w:b/>
          <w:bCs/>
        </w:rPr>
        <w:t>5.6 Persistent Gaps and the Path Forward</w:t>
      </w:r>
    </w:p>
    <w:p w:rsidR="00D61E0E" w:rsidRPr="00B0208A" w:rsidRDefault="00D61E0E" w:rsidP="002A0768">
      <w:pPr>
        <w:spacing w:after="0" w:line="360" w:lineRule="auto"/>
        <w:jc w:val="both"/>
        <w:rPr>
          <w:sz w:val="20"/>
          <w:szCs w:val="20"/>
        </w:rPr>
      </w:pPr>
      <w:r w:rsidRPr="00B0208A">
        <w:rPr>
          <w:sz w:val="20"/>
          <w:szCs w:val="20"/>
        </w:rPr>
        <w:t xml:space="preserve">The case studies, while demonstrating progress, reveal three persistent methodological gaps aligning with the foundational challenges established in Section 1.3 </w:t>
      </w:r>
      <w:r w:rsidRPr="00443582">
        <w:rPr>
          <w:sz w:val="20"/>
          <w:szCs w:val="20"/>
        </w:rPr>
        <w:t>and summarized in the "</w:t>
      </w:r>
      <w:r w:rsidRPr="00443582">
        <w:rPr>
          <w:b/>
          <w:bCs/>
          <w:sz w:val="20"/>
          <w:szCs w:val="20"/>
        </w:rPr>
        <w:t>Gap Addressed</w:t>
      </w:r>
      <w:r w:rsidRPr="00443582">
        <w:rPr>
          <w:sz w:val="20"/>
          <w:szCs w:val="20"/>
        </w:rPr>
        <w:t xml:space="preserve">" column </w:t>
      </w:r>
      <w:r w:rsidRPr="002A0768">
        <w:rPr>
          <w:sz w:val="20"/>
          <w:szCs w:val="20"/>
        </w:rPr>
        <w:t xml:space="preserve">of Table </w:t>
      </w:r>
      <w:r w:rsidR="002A0768" w:rsidRPr="002A0768">
        <w:rPr>
          <w:sz w:val="20"/>
          <w:szCs w:val="20"/>
        </w:rPr>
        <w:t>13.</w:t>
      </w:r>
    </w:p>
    <w:p w:rsidR="00D61E0E" w:rsidRPr="00B0208A" w:rsidRDefault="00D61E0E" w:rsidP="0011578A">
      <w:pPr>
        <w:numPr>
          <w:ilvl w:val="0"/>
          <w:numId w:val="48"/>
        </w:numPr>
        <w:spacing w:after="0" w:line="360" w:lineRule="auto"/>
        <w:jc w:val="both"/>
        <w:rPr>
          <w:sz w:val="20"/>
          <w:szCs w:val="20"/>
        </w:rPr>
      </w:pPr>
      <w:r w:rsidRPr="00B0208A">
        <w:rPr>
          <w:b/>
          <w:bCs/>
          <w:sz w:val="20"/>
          <w:szCs w:val="20"/>
        </w:rPr>
        <w:t>The Representation–Interpretability Gap:</w:t>
      </w:r>
      <w:r w:rsidRPr="00B0208A">
        <w:rPr>
          <w:sz w:val="20"/>
          <w:szCs w:val="20"/>
        </w:rPr>
        <w:t xml:space="preserve"> As models grow accurate, they become opaque. Polymer-specific XAI is sought to provide physical reasoning behind predictions.</w:t>
      </w:r>
    </w:p>
    <w:p w:rsidR="00D61E0E" w:rsidRPr="00B0208A" w:rsidRDefault="00D61E0E" w:rsidP="0011578A">
      <w:pPr>
        <w:numPr>
          <w:ilvl w:val="0"/>
          <w:numId w:val="48"/>
        </w:numPr>
        <w:spacing w:after="0" w:line="360" w:lineRule="auto"/>
        <w:jc w:val="both"/>
        <w:rPr>
          <w:sz w:val="20"/>
          <w:szCs w:val="20"/>
        </w:rPr>
      </w:pPr>
      <w:r w:rsidRPr="00B0208A">
        <w:rPr>
          <w:b/>
          <w:bCs/>
          <w:sz w:val="20"/>
          <w:szCs w:val="20"/>
        </w:rPr>
        <w:t>The Synthesizability Gap:</w:t>
      </w:r>
      <w:r w:rsidRPr="00B0208A">
        <w:rPr>
          <w:sz w:val="20"/>
          <w:szCs w:val="20"/>
        </w:rPr>
        <w:t xml:space="preserve"> Generative models often propose structures disconnected from monomer availability. Integrating thermodynamic and kinetic constraints is essential.</w:t>
      </w:r>
    </w:p>
    <w:p w:rsidR="00D61E0E" w:rsidRPr="00B0208A" w:rsidRDefault="00D61E0E" w:rsidP="0011578A">
      <w:pPr>
        <w:numPr>
          <w:ilvl w:val="0"/>
          <w:numId w:val="48"/>
        </w:numPr>
        <w:spacing w:after="0" w:line="360" w:lineRule="auto"/>
        <w:jc w:val="both"/>
        <w:rPr>
          <w:sz w:val="20"/>
          <w:szCs w:val="20"/>
        </w:rPr>
      </w:pPr>
      <w:r w:rsidRPr="00B0208A">
        <w:rPr>
          <w:b/>
          <w:bCs/>
          <w:sz w:val="20"/>
          <w:szCs w:val="20"/>
        </w:rPr>
        <w:t>The Validation Chasm:</w:t>
      </w:r>
      <w:r w:rsidRPr="00B0208A">
        <w:rPr>
          <w:sz w:val="20"/>
          <w:szCs w:val="20"/>
        </w:rPr>
        <w:t xml:space="preserve"> Most studies prioritize statistical scores over physical reality. As established in the </w:t>
      </w:r>
      <w:r w:rsidRPr="00B0208A">
        <w:rPr>
          <w:b/>
          <w:bCs/>
          <w:sz w:val="20"/>
          <w:szCs w:val="20"/>
        </w:rPr>
        <w:t>PIMRR framework</w:t>
      </w:r>
      <w:r w:rsidRPr="00B0208A">
        <w:rPr>
          <w:sz w:val="20"/>
          <w:szCs w:val="20"/>
        </w:rPr>
        <w:t xml:space="preserve"> (Section 4.6), the critical frontier is moving toward closed-loop synthesis.</w:t>
      </w:r>
    </w:p>
    <w:p w:rsidR="00D61E0E" w:rsidRPr="00B0208A" w:rsidRDefault="00D61E0E" w:rsidP="00D61E0E">
      <w:pPr>
        <w:spacing w:before="240" w:after="0" w:line="360" w:lineRule="auto"/>
        <w:jc w:val="both"/>
        <w:rPr>
          <w:sz w:val="20"/>
          <w:szCs w:val="20"/>
        </w:rPr>
      </w:pPr>
      <w:r w:rsidRPr="00B0208A">
        <w:rPr>
          <w:b/>
          <w:bCs/>
          <w:sz w:val="20"/>
          <w:szCs w:val="20"/>
        </w:rPr>
        <w:t>Concluding Perspectives:</w:t>
      </w:r>
    </w:p>
    <w:p w:rsidR="00D61E0E" w:rsidRPr="00B0208A" w:rsidRDefault="00D61E0E" w:rsidP="00D61E0E">
      <w:pPr>
        <w:spacing w:after="0" w:line="360" w:lineRule="auto"/>
        <w:jc w:val="both"/>
        <w:rPr>
          <w:sz w:val="20"/>
          <w:szCs w:val="20"/>
        </w:rPr>
      </w:pPr>
      <w:r w:rsidRPr="00B0208A">
        <w:rPr>
          <w:sz w:val="20"/>
          <w:szCs w:val="20"/>
        </w:rPr>
        <w:t xml:space="preserve">To address these, a promising direction involves </w:t>
      </w:r>
      <w:r w:rsidRPr="00B0208A">
        <w:rPr>
          <w:b/>
          <w:bCs/>
          <w:sz w:val="20"/>
          <w:szCs w:val="20"/>
        </w:rPr>
        <w:t>Neuro-Symbolic Hybrids</w:t>
      </w:r>
      <w:r w:rsidRPr="00B0208A">
        <w:rPr>
          <w:sz w:val="20"/>
          <w:szCs w:val="20"/>
        </w:rPr>
        <w:t>. Rather than relying solely on high-dimensional pattern recognition, these systems integrate neural networks with the symbolic logic of chemical valency and polymerization physics. This framework offers a path toward interpretable and synthetically viable polymer discovery.</w:t>
      </w:r>
    </w:p>
    <w:p w:rsidR="00367005" w:rsidRPr="00443582" w:rsidRDefault="00D61E0E" w:rsidP="00443582">
      <w:pPr>
        <w:spacing w:before="240" w:line="360" w:lineRule="auto"/>
        <w:jc w:val="both"/>
        <w:rPr>
          <w:rFonts w:cstheme="minorHAnsi"/>
          <w:b/>
          <w:bCs/>
          <w:sz w:val="24"/>
          <w:szCs w:val="24"/>
        </w:rPr>
      </w:pPr>
      <w:r w:rsidRPr="00443582">
        <w:rPr>
          <w:sz w:val="24"/>
          <w:szCs w:val="24"/>
        </w:rPr>
        <w:t xml:space="preserve"> </w:t>
      </w:r>
      <w:r w:rsidR="00367005" w:rsidRPr="00443582">
        <w:rPr>
          <w:rFonts w:cstheme="minorHAnsi"/>
          <w:b/>
          <w:bCs/>
          <w:sz w:val="24"/>
          <w:szCs w:val="24"/>
        </w:rPr>
        <w:t>6. Synthesis and Outlook: Toward Robust, Generalizable, and Interpretable Polymer AI</w:t>
      </w:r>
    </w:p>
    <w:p w:rsidR="00367005" w:rsidRPr="006C7800" w:rsidRDefault="00367005" w:rsidP="004D0E2F">
      <w:pPr>
        <w:spacing w:after="0" w:line="360" w:lineRule="auto"/>
        <w:jc w:val="both"/>
        <w:rPr>
          <w:rFonts w:cstheme="minorHAnsi"/>
          <w:sz w:val="20"/>
          <w:szCs w:val="20"/>
        </w:rPr>
      </w:pPr>
      <w:r w:rsidRPr="006C7800">
        <w:rPr>
          <w:rFonts w:cstheme="minorHAnsi"/>
          <w:sz w:val="20"/>
          <w:szCs w:val="20"/>
        </w:rPr>
        <w:t>The preceding sections traced the rapid evolution of deep learning in polymer science, from representational advances and architectural paradigms to application domains and evaluation practices. This final section synthesizes those developments into a cohesive vision, identifies persistent structural limitations, and outlines a forward-looking research agenda bridging polymer physics, computer science, and data infrastructure. The goal is to define the conceptual and computational foundations required to transform polymer AI from a promising toolkit into a reliable engine for materials discovery.</w:t>
      </w:r>
    </w:p>
    <w:p w:rsidR="00367005" w:rsidRPr="00443582" w:rsidRDefault="00367005" w:rsidP="00443582">
      <w:pPr>
        <w:spacing w:before="240" w:after="0" w:line="360" w:lineRule="auto"/>
        <w:jc w:val="both"/>
        <w:rPr>
          <w:rFonts w:cstheme="minorHAnsi"/>
          <w:b/>
          <w:bCs/>
        </w:rPr>
      </w:pPr>
      <w:r w:rsidRPr="00443582">
        <w:rPr>
          <w:rFonts w:cstheme="minorHAnsi"/>
          <w:b/>
          <w:bCs/>
        </w:rPr>
        <w:t>6.1 Cross-Cutting Trends: The Evolving Landscape</w:t>
      </w:r>
    </w:p>
    <w:p w:rsidR="00367005" w:rsidRPr="006C7800" w:rsidRDefault="00367005" w:rsidP="004D0E2F">
      <w:pPr>
        <w:spacing w:after="0" w:line="360" w:lineRule="auto"/>
        <w:jc w:val="both"/>
        <w:rPr>
          <w:rFonts w:cstheme="minorHAnsi"/>
          <w:sz w:val="20"/>
          <w:szCs w:val="20"/>
        </w:rPr>
      </w:pPr>
      <w:r w:rsidRPr="006C7800">
        <w:rPr>
          <w:rFonts w:cstheme="minorHAnsi"/>
          <w:sz w:val="20"/>
          <w:szCs w:val="20"/>
        </w:rPr>
        <w:t>Four converging trends define the state of polymer deep learning:</w:t>
      </w:r>
    </w:p>
    <w:p w:rsidR="00367005" w:rsidRPr="006C7800" w:rsidRDefault="00367005" w:rsidP="0011578A">
      <w:pPr>
        <w:numPr>
          <w:ilvl w:val="0"/>
          <w:numId w:val="36"/>
        </w:numPr>
        <w:spacing w:after="0" w:line="360" w:lineRule="auto"/>
        <w:jc w:val="both"/>
        <w:rPr>
          <w:rFonts w:cstheme="minorHAnsi"/>
          <w:sz w:val="20"/>
          <w:szCs w:val="20"/>
        </w:rPr>
      </w:pPr>
      <w:r w:rsidRPr="006C7800">
        <w:rPr>
          <w:rFonts w:cstheme="minorHAnsi"/>
          <w:sz w:val="20"/>
          <w:szCs w:val="20"/>
        </w:rPr>
        <w:lastRenderedPageBreak/>
        <w:t>From Descriptors to Learned Representations: The field decisively shifted from handcrafted descriptors to architectures learning directly from raw structural inputs. Graph neural networks (GNNs) dominate structure–property prediction by capturing topological, electronic, and spatial interactions. In parallel, Transformer-based models gained traction for sequence-sensitive tasks, particularly in copolymers and block architectures where monomer ordering governs emergent behavior. This reflects the dual nature of polymers: topology and sequence are complementary axes of complexity, now addressed by tailored architectures.</w:t>
      </w:r>
    </w:p>
    <w:p w:rsidR="00367005" w:rsidRPr="006C7800" w:rsidRDefault="00367005" w:rsidP="0011578A">
      <w:pPr>
        <w:numPr>
          <w:ilvl w:val="0"/>
          <w:numId w:val="36"/>
        </w:numPr>
        <w:spacing w:after="0" w:line="360" w:lineRule="auto"/>
        <w:jc w:val="both"/>
        <w:rPr>
          <w:rFonts w:cstheme="minorHAnsi"/>
          <w:sz w:val="20"/>
          <w:szCs w:val="20"/>
        </w:rPr>
      </w:pPr>
      <w:r w:rsidRPr="006C7800">
        <w:rPr>
          <w:rFonts w:cstheme="minorHAnsi"/>
          <w:sz w:val="20"/>
          <w:szCs w:val="20"/>
        </w:rPr>
        <w:t>Multimodal and Hybrid Modeling: Leading models increasingly integrate chemical structure, processing parameters, and morphological data. For instance, Uni-Poly [57] fuses SMILES, graph representations, and microscopy images into unified predictive frameworks. Hybrid ML–physics approaches, like neural surrogates for molecular dynamics or thermodynamic simulations, enhance extrapolation and physical fidelity.</w:t>
      </w:r>
    </w:p>
    <w:p w:rsidR="00367005" w:rsidRPr="006C7800" w:rsidRDefault="00367005" w:rsidP="0011578A">
      <w:pPr>
        <w:numPr>
          <w:ilvl w:val="0"/>
          <w:numId w:val="36"/>
        </w:numPr>
        <w:spacing w:after="0" w:line="360" w:lineRule="auto"/>
        <w:jc w:val="both"/>
        <w:rPr>
          <w:rFonts w:cstheme="minorHAnsi"/>
          <w:sz w:val="20"/>
          <w:szCs w:val="20"/>
        </w:rPr>
      </w:pPr>
      <w:r w:rsidRPr="006C7800">
        <w:rPr>
          <w:rFonts w:cstheme="minorHAnsi"/>
          <w:sz w:val="20"/>
          <w:szCs w:val="20"/>
        </w:rPr>
        <w:t>The Generative Turn: The field transitions from predictive modeling to generative design. Variational autoencoders, GANs, and diffusion models explore vast chemical spaces and propose novel polymer candidates. However, this introduces challenges: synthetic feasibility, reaction pathway awareness, and the "Validation Chasm" remain major barriers.</w:t>
      </w:r>
    </w:p>
    <w:p w:rsidR="00367005" w:rsidRPr="006C7800" w:rsidRDefault="00367005" w:rsidP="0011578A">
      <w:pPr>
        <w:numPr>
          <w:ilvl w:val="0"/>
          <w:numId w:val="36"/>
        </w:numPr>
        <w:spacing w:after="0" w:line="360" w:lineRule="auto"/>
        <w:jc w:val="both"/>
        <w:rPr>
          <w:rFonts w:cstheme="minorHAnsi"/>
          <w:sz w:val="20"/>
          <w:szCs w:val="20"/>
        </w:rPr>
      </w:pPr>
      <w:r w:rsidRPr="006C7800">
        <w:rPr>
          <w:rFonts w:cstheme="minorHAnsi"/>
          <w:sz w:val="20"/>
          <w:szCs w:val="20"/>
        </w:rPr>
        <w:t xml:space="preserve">Data-Efficient Learning: The persistent small-data regime catalyzed innovation in contrastive self-supervised learning, multitask learning, and transfer learning from large molecular corpora. These methods mitigate data </w:t>
      </w:r>
      <w:r w:rsidR="00443582" w:rsidRPr="006C7800">
        <w:rPr>
          <w:rFonts w:cstheme="minorHAnsi"/>
          <w:sz w:val="20"/>
          <w:szCs w:val="20"/>
        </w:rPr>
        <w:t>scarcity;</w:t>
      </w:r>
      <w:r w:rsidRPr="006C7800">
        <w:rPr>
          <w:rFonts w:cstheme="minorHAnsi"/>
          <w:sz w:val="20"/>
          <w:szCs w:val="20"/>
        </w:rPr>
        <w:t xml:space="preserve"> though full potential remains unrealized.</w:t>
      </w:r>
    </w:p>
    <w:p w:rsidR="00367005" w:rsidRPr="00443582" w:rsidRDefault="00367005" w:rsidP="00443582">
      <w:pPr>
        <w:spacing w:before="240" w:after="0" w:line="360" w:lineRule="auto"/>
        <w:jc w:val="both"/>
        <w:rPr>
          <w:rFonts w:cstheme="minorHAnsi"/>
          <w:b/>
          <w:bCs/>
        </w:rPr>
      </w:pPr>
      <w:r w:rsidRPr="00443582">
        <w:rPr>
          <w:rFonts w:cstheme="minorHAnsi"/>
          <w:b/>
          <w:bCs/>
        </w:rPr>
        <w:t>6.2 Structural Limitations in Polymer AI</w:t>
      </w:r>
    </w:p>
    <w:p w:rsidR="00367005" w:rsidRPr="006C7800" w:rsidRDefault="00367005" w:rsidP="004D0E2F">
      <w:pPr>
        <w:spacing w:after="0" w:line="360" w:lineRule="auto"/>
        <w:jc w:val="both"/>
        <w:rPr>
          <w:rFonts w:cstheme="minorHAnsi"/>
          <w:sz w:val="20"/>
          <w:szCs w:val="20"/>
        </w:rPr>
      </w:pPr>
      <w:r w:rsidRPr="006C7800">
        <w:rPr>
          <w:rFonts w:cstheme="minorHAnsi"/>
          <w:sz w:val="20"/>
          <w:szCs w:val="20"/>
        </w:rPr>
        <w:t>Despite progress, systemic limitations constrain the field:</w:t>
      </w:r>
    </w:p>
    <w:p w:rsidR="00367005" w:rsidRPr="006C7800" w:rsidRDefault="00367005" w:rsidP="0011578A">
      <w:pPr>
        <w:numPr>
          <w:ilvl w:val="0"/>
          <w:numId w:val="37"/>
        </w:numPr>
        <w:spacing w:after="0" w:line="360" w:lineRule="auto"/>
        <w:jc w:val="both"/>
        <w:rPr>
          <w:rFonts w:cstheme="minorHAnsi"/>
          <w:sz w:val="20"/>
          <w:szCs w:val="20"/>
        </w:rPr>
      </w:pPr>
      <w:r w:rsidRPr="006C7800">
        <w:rPr>
          <w:rFonts w:cstheme="minorHAnsi"/>
          <w:sz w:val="20"/>
          <w:szCs w:val="20"/>
        </w:rPr>
        <w:t>Data Scarcity and Quality: Most datasets contain fewer than 5,000 samples and are heavily biased toward commodity polymers. Furthermore, the absence of essential metadata (molecular weight distributions, tacticity, processing history) prevents learning true structure–processing–property relationships. This "metadata gap" is what the PIMRR framework (Section 4.6) seeks to formalize and correct.</w:t>
      </w:r>
    </w:p>
    <w:p w:rsidR="00367005" w:rsidRPr="006C7800" w:rsidRDefault="00367005" w:rsidP="0011578A">
      <w:pPr>
        <w:numPr>
          <w:ilvl w:val="0"/>
          <w:numId w:val="37"/>
        </w:numPr>
        <w:spacing w:after="0" w:line="360" w:lineRule="auto"/>
        <w:jc w:val="both"/>
        <w:rPr>
          <w:rFonts w:cstheme="minorHAnsi"/>
          <w:sz w:val="20"/>
          <w:szCs w:val="20"/>
        </w:rPr>
      </w:pPr>
      <w:r w:rsidRPr="006C7800">
        <w:rPr>
          <w:rFonts w:cstheme="minorHAnsi"/>
          <w:sz w:val="20"/>
          <w:szCs w:val="20"/>
        </w:rPr>
        <w:t>Generalization and Extrapolation Gaps: Models perform well within training distribution but fail on out</w:t>
      </w:r>
      <w:r w:rsidRPr="006C7800">
        <w:rPr>
          <w:rFonts w:cstheme="minorHAnsi"/>
          <w:sz w:val="20"/>
          <w:szCs w:val="20"/>
        </w:rPr>
        <w:noBreakHyphen/>
        <w:t>of</w:t>
      </w:r>
      <w:r w:rsidRPr="006C7800">
        <w:rPr>
          <w:rFonts w:cstheme="minorHAnsi"/>
          <w:sz w:val="20"/>
          <w:szCs w:val="20"/>
        </w:rPr>
        <w:noBreakHyphen/>
        <w:t>distribution chemistries or novel topologies. This reflects reliance on statistical correlations rather than causal or physically grounded mechanisms, emphasizing the need for Level 2 (Domain Heuristic) baseline validation (Section 4.3). Causal discovery benchmarks [95] suggest moving beyond correlation to mechanism</w:t>
      </w:r>
      <w:r w:rsidRPr="006C7800">
        <w:rPr>
          <w:rFonts w:cstheme="minorHAnsi"/>
          <w:sz w:val="20"/>
          <w:szCs w:val="20"/>
        </w:rPr>
        <w:noBreakHyphen/>
        <w:t>aware models is essential for extrapolation.</w:t>
      </w:r>
    </w:p>
    <w:p w:rsidR="00367005" w:rsidRPr="006C7800" w:rsidRDefault="00367005" w:rsidP="0011578A">
      <w:pPr>
        <w:numPr>
          <w:ilvl w:val="0"/>
          <w:numId w:val="37"/>
        </w:numPr>
        <w:spacing w:after="0" w:line="360" w:lineRule="auto"/>
        <w:jc w:val="both"/>
        <w:rPr>
          <w:rFonts w:cstheme="minorHAnsi"/>
          <w:sz w:val="20"/>
          <w:szCs w:val="20"/>
        </w:rPr>
      </w:pPr>
      <w:r w:rsidRPr="006C7800">
        <w:rPr>
          <w:rFonts w:cstheme="minorHAnsi"/>
          <w:sz w:val="20"/>
          <w:szCs w:val="20"/>
        </w:rPr>
        <w:t>Benchmarking and Reproducibility Deficits: Random data splits and inconsistent baselines undermine comparability. While community-driven solutions like POINT² [110] provide standardized protocols, widespread adoption of scaffold and time-based splits [49] remains the primary barrier to a transparent research ecosystem.</w:t>
      </w:r>
    </w:p>
    <w:p w:rsidR="00367005" w:rsidRPr="006C7800" w:rsidRDefault="00367005" w:rsidP="0011578A">
      <w:pPr>
        <w:numPr>
          <w:ilvl w:val="0"/>
          <w:numId w:val="37"/>
        </w:numPr>
        <w:spacing w:after="0" w:line="360" w:lineRule="auto"/>
        <w:jc w:val="both"/>
        <w:rPr>
          <w:rFonts w:cstheme="minorHAnsi"/>
          <w:sz w:val="20"/>
          <w:szCs w:val="20"/>
        </w:rPr>
      </w:pPr>
      <w:r w:rsidRPr="006C7800">
        <w:rPr>
          <w:rFonts w:cstheme="minorHAnsi"/>
          <w:sz w:val="20"/>
          <w:szCs w:val="20"/>
        </w:rPr>
        <w:lastRenderedPageBreak/>
        <w:t>Interpretability and Trust Deficits: The most accurate architectures (deep GNNs, Transformer hybrids) are often least interpretable. Existing Explainable AI (XAI) methods rarely produce explanations grounded in polymer physics (e.g., chain entanglement density, free volume), limiting utility for hypothesis generation.</w:t>
      </w:r>
    </w:p>
    <w:p w:rsidR="00367005" w:rsidRPr="006C7800" w:rsidRDefault="00367005" w:rsidP="0011578A">
      <w:pPr>
        <w:numPr>
          <w:ilvl w:val="0"/>
          <w:numId w:val="37"/>
        </w:numPr>
        <w:spacing w:after="0" w:line="360" w:lineRule="auto"/>
        <w:jc w:val="both"/>
        <w:rPr>
          <w:rFonts w:cstheme="minorHAnsi"/>
          <w:sz w:val="20"/>
          <w:szCs w:val="20"/>
        </w:rPr>
      </w:pPr>
      <w:r w:rsidRPr="006C7800">
        <w:rPr>
          <w:rFonts w:cstheme="minorHAnsi"/>
          <w:sz w:val="20"/>
          <w:szCs w:val="20"/>
        </w:rPr>
        <w:t>Validation Gaps in Generative Models: While predictive models are evaluated statistically, generative models rarely undergo experimental verification. Defined by VUND+ (Section 4.2.4), the "Synthesizability Gap" remains the most significant barrier to real-world deployment of ML-designed macromolecules.</w:t>
      </w:r>
    </w:p>
    <w:p w:rsidR="00367005" w:rsidRPr="00443582" w:rsidRDefault="00367005" w:rsidP="00443582">
      <w:pPr>
        <w:spacing w:before="240" w:after="0" w:line="360" w:lineRule="auto"/>
        <w:jc w:val="both"/>
        <w:rPr>
          <w:rFonts w:cstheme="minorHAnsi"/>
          <w:b/>
          <w:bCs/>
        </w:rPr>
      </w:pPr>
      <w:r w:rsidRPr="00443582">
        <w:rPr>
          <w:rFonts w:cstheme="minorHAnsi"/>
          <w:b/>
          <w:bCs/>
        </w:rPr>
        <w:t>6.3 A Computational Research Agenda for Polymer AI</w:t>
      </w:r>
    </w:p>
    <w:p w:rsidR="00367005" w:rsidRPr="006C7800" w:rsidRDefault="00367005" w:rsidP="004D0E2F">
      <w:pPr>
        <w:spacing w:after="0" w:line="360" w:lineRule="auto"/>
        <w:jc w:val="both"/>
        <w:rPr>
          <w:rFonts w:cstheme="minorHAnsi"/>
          <w:sz w:val="20"/>
          <w:szCs w:val="20"/>
        </w:rPr>
      </w:pPr>
      <w:r w:rsidRPr="006C7800">
        <w:rPr>
          <w:rFonts w:cstheme="minorHAnsi"/>
          <w:sz w:val="20"/>
          <w:szCs w:val="20"/>
        </w:rPr>
        <w:t>These limitations are not empirical inconveniences; they are computational bottlenecks demanding targeted algorithmic and infrastructural innovation. A robust polymer AI ecosystem requires synchronized advances across four domains:</w:t>
      </w:r>
    </w:p>
    <w:p w:rsidR="00367005" w:rsidRPr="006C7800" w:rsidRDefault="00367005" w:rsidP="0011578A">
      <w:pPr>
        <w:numPr>
          <w:ilvl w:val="0"/>
          <w:numId w:val="38"/>
        </w:numPr>
        <w:spacing w:after="0" w:line="360" w:lineRule="auto"/>
        <w:jc w:val="both"/>
        <w:rPr>
          <w:rFonts w:cstheme="minorHAnsi"/>
          <w:sz w:val="20"/>
          <w:szCs w:val="20"/>
        </w:rPr>
      </w:pPr>
      <w:r w:rsidRPr="006C7800">
        <w:rPr>
          <w:rFonts w:cstheme="minorHAnsi"/>
          <w:sz w:val="20"/>
          <w:szCs w:val="20"/>
        </w:rPr>
        <w:t>Benchmarking and Evaluation Frameworks: We must develop formal benchmark tasks reflecting real-world complexity, including out-of-distribution prediction, multi-fidelity learning, and process-to-property modeling. These should include standardized splits and unified metrics, extending capabilities of platforms like POINT² and PolymerGym.</w:t>
      </w:r>
    </w:p>
    <w:p w:rsidR="00367005" w:rsidRPr="006C7800" w:rsidRDefault="00367005" w:rsidP="0011578A">
      <w:pPr>
        <w:numPr>
          <w:ilvl w:val="0"/>
          <w:numId w:val="38"/>
        </w:numPr>
        <w:spacing w:after="0" w:line="360" w:lineRule="auto"/>
        <w:jc w:val="both"/>
        <w:rPr>
          <w:rFonts w:cstheme="minorHAnsi"/>
          <w:sz w:val="20"/>
          <w:szCs w:val="20"/>
        </w:rPr>
      </w:pPr>
      <w:r w:rsidRPr="006C7800">
        <w:rPr>
          <w:rFonts w:cstheme="minorHAnsi"/>
          <w:sz w:val="20"/>
          <w:szCs w:val="20"/>
        </w:rPr>
        <w:t>Data Infrastructure and Representation: Creating unified data formats is paramount. Polymer-aware extensions to BigSMILES and GraphML must incorporate "hidden" variables (polydispersity, processing history). Adherence to FAIR data principles [28] with explicit metadata schemas is essential for cross-laboratory interoperability.</w:t>
      </w:r>
    </w:p>
    <w:p w:rsidR="00367005" w:rsidRPr="006C7800" w:rsidRDefault="00367005" w:rsidP="0011578A">
      <w:pPr>
        <w:numPr>
          <w:ilvl w:val="0"/>
          <w:numId w:val="38"/>
        </w:numPr>
        <w:spacing w:after="0" w:line="360" w:lineRule="auto"/>
        <w:jc w:val="both"/>
        <w:rPr>
          <w:rFonts w:cstheme="minorHAnsi"/>
          <w:sz w:val="20"/>
          <w:szCs w:val="20"/>
        </w:rPr>
      </w:pPr>
      <w:r w:rsidRPr="006C7800">
        <w:rPr>
          <w:rFonts w:cstheme="minorHAnsi"/>
          <w:sz w:val="20"/>
          <w:szCs w:val="20"/>
        </w:rPr>
        <w:t>Algorithmic Innovation: Research should prioritize causal representation learning [129] to disentangle independent effects of chemistry, processing, and morphology. This includes developing neural operators as differentiable surrogates for multi-scale physics and exploring sub</w:t>
      </w:r>
      <w:r w:rsidR="00443582">
        <w:rPr>
          <w:rFonts w:cstheme="minorHAnsi"/>
          <w:sz w:val="20"/>
          <w:szCs w:val="20"/>
        </w:rPr>
        <w:t>-</w:t>
      </w:r>
      <w:r w:rsidRPr="006C7800">
        <w:rPr>
          <w:rFonts w:cstheme="minorHAnsi"/>
          <w:sz w:val="20"/>
          <w:szCs w:val="20"/>
        </w:rPr>
        <w:t>quadratic attention for long-chain sequences. Furthermore, designing explainable agents and Digital Twins is necessary for meaningful human-in-the-loop collaboration.</w:t>
      </w:r>
    </w:p>
    <w:p w:rsidR="00367005" w:rsidRPr="006C7800" w:rsidRDefault="00367005" w:rsidP="0011578A">
      <w:pPr>
        <w:numPr>
          <w:ilvl w:val="0"/>
          <w:numId w:val="38"/>
        </w:numPr>
        <w:spacing w:after="0" w:line="360" w:lineRule="auto"/>
        <w:jc w:val="both"/>
        <w:rPr>
          <w:rFonts w:cstheme="minorHAnsi"/>
          <w:sz w:val="20"/>
          <w:szCs w:val="20"/>
        </w:rPr>
      </w:pPr>
      <w:r w:rsidRPr="006C7800">
        <w:rPr>
          <w:rFonts w:cstheme="minorHAnsi"/>
          <w:sz w:val="20"/>
          <w:szCs w:val="20"/>
        </w:rPr>
        <w:t>Software and HPC Ecosystems: A modern, polymer-aware software stack is urgently needed. This ecosystem should include differentiable simulation pipelines integrating MD engines, federated learning frameworks for proprietary industrial data, and optimized inference pipelines for billion-scale virtual screening. For instance, robotic experimentation platforms demonstrated the ability to autonomously synthesize and characterize novel materials, closing the loop between computational design and physical realization [90, 139].</w:t>
      </w:r>
    </w:p>
    <w:p w:rsidR="00367005" w:rsidRPr="00D408C9" w:rsidRDefault="00367005" w:rsidP="00D408C9">
      <w:pPr>
        <w:spacing w:before="240" w:after="0" w:line="360" w:lineRule="auto"/>
        <w:jc w:val="both"/>
        <w:rPr>
          <w:rFonts w:cstheme="minorHAnsi"/>
          <w:b/>
          <w:bCs/>
        </w:rPr>
      </w:pPr>
      <w:r w:rsidRPr="00D408C9">
        <w:rPr>
          <w:rFonts w:cstheme="minorHAnsi"/>
          <w:b/>
          <w:bCs/>
        </w:rPr>
        <w:t>6.4 A Tiered Roadmap for Polymer Informatics</w:t>
      </w:r>
    </w:p>
    <w:p w:rsidR="00367005" w:rsidRPr="006C7800" w:rsidRDefault="00367005" w:rsidP="004D0E2F">
      <w:pPr>
        <w:spacing w:after="0" w:line="360" w:lineRule="auto"/>
        <w:jc w:val="both"/>
        <w:rPr>
          <w:rFonts w:cstheme="minorHAnsi"/>
          <w:sz w:val="20"/>
          <w:szCs w:val="20"/>
        </w:rPr>
      </w:pPr>
      <w:r w:rsidRPr="006C7800">
        <w:rPr>
          <w:rFonts w:cstheme="minorHAnsi"/>
          <w:sz w:val="20"/>
          <w:szCs w:val="20"/>
        </w:rPr>
        <w:t>The research agenda translates into a strategic, three-tiered roadmap for the next decade:</w:t>
      </w:r>
    </w:p>
    <w:p w:rsidR="00367005" w:rsidRPr="006C7800" w:rsidRDefault="00367005" w:rsidP="0011578A">
      <w:pPr>
        <w:numPr>
          <w:ilvl w:val="0"/>
          <w:numId w:val="39"/>
        </w:numPr>
        <w:spacing w:after="0" w:line="360" w:lineRule="auto"/>
        <w:jc w:val="both"/>
        <w:rPr>
          <w:rFonts w:cstheme="minorHAnsi"/>
          <w:sz w:val="20"/>
          <w:szCs w:val="20"/>
        </w:rPr>
      </w:pPr>
      <w:r w:rsidRPr="006C7800">
        <w:rPr>
          <w:rFonts w:cstheme="minorHAnsi"/>
          <w:sz w:val="20"/>
          <w:szCs w:val="20"/>
        </w:rPr>
        <w:t>Tier 1: Foundational Infrastructure. Establishing FAIR data standards, rigorous benchmark protocols (e.g., PIMRR), and interoperable digital representations.</w:t>
      </w:r>
    </w:p>
    <w:p w:rsidR="00367005" w:rsidRPr="006C7800" w:rsidRDefault="00367005" w:rsidP="0011578A">
      <w:pPr>
        <w:numPr>
          <w:ilvl w:val="0"/>
          <w:numId w:val="39"/>
        </w:numPr>
        <w:spacing w:after="0" w:line="360" w:lineRule="auto"/>
        <w:jc w:val="both"/>
        <w:rPr>
          <w:rFonts w:cstheme="minorHAnsi"/>
          <w:sz w:val="20"/>
          <w:szCs w:val="20"/>
        </w:rPr>
      </w:pPr>
      <w:r w:rsidRPr="006C7800">
        <w:rPr>
          <w:rFonts w:cstheme="minorHAnsi"/>
          <w:sz w:val="20"/>
          <w:szCs w:val="20"/>
        </w:rPr>
        <w:lastRenderedPageBreak/>
        <w:t>Tier 2: Generalizable and Synthesis-Aware Models. Developing architectures extrapolating across chemical families and incorporating Synthesis Accessibility (SA) and polymerization constraints into generative loops.</w:t>
      </w:r>
    </w:p>
    <w:p w:rsidR="00367005" w:rsidRPr="006C7800" w:rsidRDefault="00367005" w:rsidP="0011578A">
      <w:pPr>
        <w:numPr>
          <w:ilvl w:val="0"/>
          <w:numId w:val="39"/>
        </w:numPr>
        <w:spacing w:after="0" w:line="360" w:lineRule="auto"/>
        <w:jc w:val="both"/>
        <w:rPr>
          <w:rFonts w:cstheme="minorHAnsi"/>
          <w:sz w:val="20"/>
          <w:szCs w:val="20"/>
        </w:rPr>
      </w:pPr>
      <w:r w:rsidRPr="006C7800">
        <w:rPr>
          <w:rFonts w:cstheme="minorHAnsi"/>
          <w:sz w:val="20"/>
          <w:szCs w:val="20"/>
        </w:rPr>
        <w:t>Tier 3: Autonomous Discovery Systems [158]. Integrating predictive and generative models into fully closed-loop platforms utilizing robotic experimentation and human-in-the-loop oversight.</w:t>
      </w:r>
    </w:p>
    <w:p w:rsidR="00367005" w:rsidRPr="006C7800" w:rsidRDefault="00367005" w:rsidP="004D0E2F">
      <w:pPr>
        <w:spacing w:after="0" w:line="360" w:lineRule="auto"/>
        <w:jc w:val="both"/>
        <w:rPr>
          <w:rFonts w:cstheme="minorHAnsi"/>
          <w:sz w:val="20"/>
          <w:szCs w:val="20"/>
        </w:rPr>
      </w:pPr>
      <w:r w:rsidRPr="006C7800">
        <w:rPr>
          <w:rFonts w:cstheme="minorHAnsi"/>
          <w:sz w:val="20"/>
          <w:szCs w:val="20"/>
        </w:rPr>
        <w:t>Interdependence is absolute: meaningful progress in Tier 2 and Tier 3 is impossible without rigorous, standardized foundations of Tier 1.</w:t>
      </w:r>
    </w:p>
    <w:p w:rsidR="00367005" w:rsidRPr="00D408C9" w:rsidRDefault="00367005" w:rsidP="00D408C9">
      <w:pPr>
        <w:spacing w:before="240" w:after="0" w:line="360" w:lineRule="auto"/>
        <w:jc w:val="both"/>
        <w:rPr>
          <w:rFonts w:cstheme="minorHAnsi"/>
          <w:b/>
          <w:bCs/>
        </w:rPr>
      </w:pPr>
      <w:r w:rsidRPr="00D408C9">
        <w:rPr>
          <w:rFonts w:cstheme="minorHAnsi"/>
          <w:b/>
          <w:bCs/>
        </w:rPr>
        <w:t>6.5 The Pillars of Polymer AI: Robustness, Generalizability, and Interpretability</w:t>
      </w:r>
    </w:p>
    <w:p w:rsidR="00367005" w:rsidRPr="006C7800" w:rsidRDefault="00367005" w:rsidP="004D0E2F">
      <w:pPr>
        <w:spacing w:after="0" w:line="360" w:lineRule="auto"/>
        <w:jc w:val="both"/>
        <w:rPr>
          <w:rFonts w:cstheme="minorHAnsi"/>
          <w:sz w:val="20"/>
          <w:szCs w:val="20"/>
        </w:rPr>
      </w:pPr>
      <w:r w:rsidRPr="006C7800">
        <w:rPr>
          <w:rFonts w:cstheme="minorHAnsi"/>
          <w:sz w:val="20"/>
          <w:szCs w:val="20"/>
        </w:rPr>
        <w:t>To move beyond post-hoc curve fitting and become a reliable discovery engine, models must be evaluated against three core scientific dimensions:</w:t>
      </w:r>
    </w:p>
    <w:p w:rsidR="00367005" w:rsidRPr="006C7800" w:rsidRDefault="00367005" w:rsidP="0011578A">
      <w:pPr>
        <w:numPr>
          <w:ilvl w:val="0"/>
          <w:numId w:val="40"/>
        </w:numPr>
        <w:spacing w:after="0" w:line="360" w:lineRule="auto"/>
        <w:jc w:val="both"/>
        <w:rPr>
          <w:rFonts w:cstheme="minorHAnsi"/>
          <w:sz w:val="20"/>
          <w:szCs w:val="20"/>
        </w:rPr>
      </w:pPr>
      <w:r w:rsidRPr="006C7800">
        <w:rPr>
          <w:rFonts w:cstheme="minorHAnsi"/>
          <w:sz w:val="20"/>
          <w:szCs w:val="20"/>
        </w:rPr>
        <w:t>Robustness: A robust polymer model must provide calibrated uncertainty, remaining stable across heterogeneous representations and experimental noise. Accuracy on clean datasets is insufficient; models must demonstrate adversarial robustness and stable performance facing real-world macromolecular stochasticity (e.g., variations in Đ or thermal history).</w:t>
      </w:r>
    </w:p>
    <w:p w:rsidR="00367005" w:rsidRPr="006C7800" w:rsidRDefault="00367005" w:rsidP="0011578A">
      <w:pPr>
        <w:numPr>
          <w:ilvl w:val="0"/>
          <w:numId w:val="40"/>
        </w:numPr>
        <w:spacing w:after="0" w:line="360" w:lineRule="auto"/>
        <w:jc w:val="both"/>
        <w:rPr>
          <w:rFonts w:cstheme="minorHAnsi"/>
          <w:sz w:val="20"/>
          <w:szCs w:val="20"/>
        </w:rPr>
      </w:pPr>
      <w:r w:rsidRPr="006C7800">
        <w:rPr>
          <w:rFonts w:cstheme="minorHAnsi"/>
          <w:sz w:val="20"/>
          <w:szCs w:val="20"/>
        </w:rPr>
        <w:t>Generalizability: True generalizability is defined by the ability to extrapolate to unseen chemical families and novel topologies. This requires moving beyond statistical correlation toward causal or physically grounded mechanisms. As established by the Validation Hierarchy (Section 4.3), generalizability is proven when models outperform Level 2 physical heuristics on scaffold-split benchmarks.</w:t>
      </w:r>
    </w:p>
    <w:p w:rsidR="00367005" w:rsidRPr="006C7800" w:rsidRDefault="00367005" w:rsidP="0011578A">
      <w:pPr>
        <w:numPr>
          <w:ilvl w:val="0"/>
          <w:numId w:val="40"/>
        </w:numPr>
        <w:spacing w:after="0" w:line="360" w:lineRule="auto"/>
        <w:jc w:val="both"/>
        <w:rPr>
          <w:rFonts w:cstheme="minorHAnsi"/>
          <w:sz w:val="20"/>
          <w:szCs w:val="20"/>
        </w:rPr>
      </w:pPr>
      <w:r w:rsidRPr="006C7800">
        <w:rPr>
          <w:rFonts w:cstheme="minorHAnsi"/>
          <w:sz w:val="20"/>
          <w:szCs w:val="20"/>
        </w:rPr>
        <w:t>Physical Interpretability: To foster trust, models must move beyond “black</w:t>
      </w:r>
      <w:r w:rsidRPr="006C7800">
        <w:rPr>
          <w:rFonts w:cstheme="minorHAnsi"/>
          <w:sz w:val="20"/>
          <w:szCs w:val="20"/>
        </w:rPr>
        <w:noBreakHyphen/>
        <w:t>box” outputs. Interpretability should be grounded in polymer physics (e.g., chain entanglement density, free volume, backbone rigidity). Polymer</w:t>
      </w:r>
      <w:r w:rsidRPr="006C7800">
        <w:rPr>
          <w:rFonts w:cstheme="minorHAnsi"/>
          <w:sz w:val="20"/>
          <w:szCs w:val="20"/>
        </w:rPr>
        <w:noBreakHyphen/>
        <w:t>specific XAI must allow researchers to generate new physical hypotheses, transforming ML from a prediction tool into a scientific collaborator. Beyond attention maps, methods like GNNExplainer [159] and post</w:t>
      </w:r>
      <w:r w:rsidRPr="006C7800">
        <w:rPr>
          <w:rFonts w:cstheme="minorHAnsi"/>
          <w:sz w:val="20"/>
          <w:szCs w:val="20"/>
        </w:rPr>
        <w:noBreakHyphen/>
        <w:t>hoc XAI frameworks [128] help identify critical topological motifs or processing–morphology couplings.</w:t>
      </w:r>
    </w:p>
    <w:p w:rsidR="00367005" w:rsidRPr="00D408C9" w:rsidRDefault="00367005" w:rsidP="00D408C9">
      <w:pPr>
        <w:spacing w:before="240" w:after="0" w:line="360" w:lineRule="auto"/>
        <w:jc w:val="both"/>
        <w:rPr>
          <w:rFonts w:cstheme="minorHAnsi"/>
          <w:b/>
          <w:bCs/>
        </w:rPr>
      </w:pPr>
      <w:r w:rsidRPr="00D408C9">
        <w:rPr>
          <w:rFonts w:cstheme="minorHAnsi"/>
          <w:b/>
          <w:bCs/>
        </w:rPr>
        <w:t>6.6 Toward a Unified Community Ecosystem</w:t>
      </w:r>
    </w:p>
    <w:p w:rsidR="00367005" w:rsidRPr="006C7800" w:rsidRDefault="00367005" w:rsidP="004D0E2F">
      <w:pPr>
        <w:spacing w:after="0" w:line="360" w:lineRule="auto"/>
        <w:jc w:val="both"/>
        <w:rPr>
          <w:rFonts w:cstheme="minorHAnsi"/>
          <w:sz w:val="20"/>
          <w:szCs w:val="20"/>
        </w:rPr>
      </w:pPr>
      <w:r w:rsidRPr="006C7800">
        <w:rPr>
          <w:rFonts w:cstheme="minorHAnsi"/>
          <w:sz w:val="20"/>
          <w:szCs w:val="20"/>
        </w:rPr>
        <w:t>Progress toward these pillars requires transitioning from isolated studies to collective infrastructure. We recommend a joint task force spanning stakeholders (JCIM, Materials Cloud, Polymer Genome, and established FAIR repositories like Citrination [143], the Materials Project [92], and NOMAD [102]) to define and maintain standardized benchmarks and data schemas necessary to bridge the “Validation Chasm.”</w:t>
      </w:r>
    </w:p>
    <w:p w:rsidR="00367005" w:rsidRPr="006C7800" w:rsidRDefault="00367005" w:rsidP="004D0E2F">
      <w:pPr>
        <w:spacing w:after="0" w:line="360" w:lineRule="auto"/>
        <w:jc w:val="both"/>
        <w:rPr>
          <w:rFonts w:cstheme="minorHAnsi"/>
          <w:sz w:val="20"/>
          <w:szCs w:val="20"/>
        </w:rPr>
      </w:pPr>
      <w:r w:rsidRPr="006C7800">
        <w:rPr>
          <w:rFonts w:cstheme="minorHAnsi"/>
          <w:sz w:val="20"/>
          <w:szCs w:val="20"/>
        </w:rPr>
        <w:t>By adopting PIMRR and the research agenda herein, the field transforms promising algorithms into the reliable foundation for next-generation high-performance macromolecules. Beyond technical rigor, as polymer AI matures, adherence to ethical guidelines for transparent, fair, and accountable AI [64] fosters trust and ensures responsible deployment.</w:t>
      </w:r>
    </w:p>
    <w:p w:rsidR="00367005" w:rsidRPr="00D408C9" w:rsidRDefault="00367005" w:rsidP="00D408C9">
      <w:pPr>
        <w:spacing w:before="240" w:after="0" w:line="360" w:lineRule="auto"/>
        <w:jc w:val="both"/>
        <w:rPr>
          <w:rFonts w:cstheme="minorHAnsi"/>
          <w:b/>
          <w:bCs/>
        </w:rPr>
      </w:pPr>
      <w:r w:rsidRPr="00D408C9">
        <w:rPr>
          <w:rFonts w:cstheme="minorHAnsi"/>
          <w:b/>
          <w:bCs/>
        </w:rPr>
        <w:t>6.7 Conclusive Synthesis: From Computational Promise to Engineered Reality</w:t>
      </w:r>
    </w:p>
    <w:p w:rsidR="00367005" w:rsidRPr="006C7800" w:rsidRDefault="00367005" w:rsidP="004D0E2F">
      <w:pPr>
        <w:spacing w:after="0" w:line="360" w:lineRule="auto"/>
        <w:jc w:val="both"/>
        <w:rPr>
          <w:rFonts w:cstheme="minorHAnsi"/>
          <w:sz w:val="20"/>
          <w:szCs w:val="20"/>
        </w:rPr>
      </w:pPr>
      <w:r w:rsidRPr="006C7800">
        <w:rPr>
          <w:rFonts w:cstheme="minorHAnsi"/>
          <w:sz w:val="20"/>
          <w:szCs w:val="20"/>
        </w:rPr>
        <w:lastRenderedPageBreak/>
        <w:t>This review mapped the evolving landscape of polymer deep learning, tracing trajectory from descriptor-based models to multimodal GNNs, Transformer architectures, and generative frameworks. Organizing advances around a computational ecosystem (predictive, generative, topological), we highlighted conceptual richness while identifying fragmentation hindering industrial deployment.</w:t>
      </w:r>
    </w:p>
    <w:p w:rsidR="00367005" w:rsidRPr="006C7800" w:rsidRDefault="00367005" w:rsidP="004D0E2F">
      <w:pPr>
        <w:spacing w:after="0" w:line="360" w:lineRule="auto"/>
        <w:jc w:val="both"/>
        <w:rPr>
          <w:rFonts w:cstheme="minorHAnsi"/>
          <w:sz w:val="20"/>
          <w:szCs w:val="20"/>
        </w:rPr>
      </w:pPr>
      <w:r w:rsidRPr="006C7800">
        <w:rPr>
          <w:rFonts w:cstheme="minorHAnsi"/>
          <w:sz w:val="20"/>
          <w:szCs w:val="20"/>
        </w:rPr>
        <w:t>The field stands at a decisive inflection point. The challenge is engineering reliability, not demonstrating capability. The roadmap and ecosystem vision provide a strategic foundation for the next decade, emphasizing progress in autonomous discovery depends on rigorous Tier 1 infrastructure: standardized benchmarks, interoperable data formats, and physically grounded modeling.</w:t>
      </w:r>
    </w:p>
    <w:p w:rsidR="00367005" w:rsidRPr="006C7800" w:rsidRDefault="00367005" w:rsidP="004D0E2F">
      <w:pPr>
        <w:spacing w:after="0" w:line="360" w:lineRule="auto"/>
        <w:jc w:val="both"/>
        <w:rPr>
          <w:rFonts w:cstheme="minorHAnsi"/>
          <w:sz w:val="20"/>
          <w:szCs w:val="20"/>
        </w:rPr>
      </w:pPr>
      <w:r w:rsidRPr="006C7800">
        <w:rPr>
          <w:rFonts w:cstheme="minorHAnsi"/>
          <w:sz w:val="20"/>
          <w:szCs w:val="20"/>
        </w:rPr>
        <w:t>Ultimately, bridging the "Validation Chasm" (gap between virtual curiosities and synthesized macromolecules) requires transitioning from black-box correlation to causal, physics-grounded discovery. To move from promise to practice, polymer AI must prioritize Robustness, Generalizability, and Interpretability. By anchoring progress in PIMRR, building architectures for physical insight, and closing the loop between design and synthesis, the field delivers high-performance materials addressing global challenges in energy, sustainability, and healthcare.</w:t>
      </w:r>
    </w:p>
    <w:p w:rsidR="00367005" w:rsidRPr="006C7800" w:rsidRDefault="00367005" w:rsidP="004D0E2F">
      <w:pPr>
        <w:spacing w:after="0" w:line="360" w:lineRule="auto"/>
        <w:jc w:val="both"/>
        <w:rPr>
          <w:rFonts w:cstheme="minorHAnsi"/>
          <w:sz w:val="20"/>
          <w:szCs w:val="20"/>
        </w:rPr>
      </w:pPr>
      <w:r w:rsidRPr="006C7800">
        <w:rPr>
          <w:rFonts w:cstheme="minorHAnsi"/>
          <w:sz w:val="20"/>
          <w:szCs w:val="20"/>
        </w:rPr>
        <w:t>Realizing this vision demands sustained partnership between polymer scientists and computer scientists, grounded in shared standards, infrastructure, and ambition to transform polymer informatics into a reliable engine of scientific discovery.</w:t>
      </w:r>
    </w:p>
    <w:p w:rsidR="00B53A5A" w:rsidRDefault="00B53A5A" w:rsidP="004D0E2F">
      <w:pPr>
        <w:spacing w:after="0" w:line="360" w:lineRule="auto"/>
        <w:jc w:val="both"/>
        <w:rPr>
          <w:rFonts w:cstheme="minorHAnsi"/>
          <w:sz w:val="20"/>
          <w:szCs w:val="20"/>
        </w:rPr>
      </w:pPr>
    </w:p>
    <w:p w:rsidR="005562ED" w:rsidRDefault="005562ED" w:rsidP="005562ED">
      <w:pPr>
        <w:spacing w:after="0" w:line="360" w:lineRule="auto"/>
        <w:rPr>
          <w:rFonts w:cstheme="minorHAnsi"/>
          <w:b/>
          <w:bCs/>
          <w:sz w:val="18"/>
          <w:szCs w:val="18"/>
        </w:rPr>
      </w:pPr>
      <w:r w:rsidRPr="005562ED">
        <w:rPr>
          <w:rFonts w:cstheme="minorHAnsi"/>
          <w:b/>
          <w:bCs/>
          <w:sz w:val="18"/>
          <w:szCs w:val="18"/>
        </w:rPr>
        <w:t>- Competing Interests</w:t>
      </w:r>
      <w:r>
        <w:rPr>
          <w:rFonts w:cstheme="minorHAnsi"/>
          <w:b/>
          <w:bCs/>
          <w:sz w:val="18"/>
          <w:szCs w:val="18"/>
        </w:rPr>
        <w:t xml:space="preserve">: </w:t>
      </w:r>
      <w:r w:rsidRPr="006A72F4">
        <w:rPr>
          <w:rFonts w:cstheme="minorHAnsi"/>
          <w:b/>
          <w:bCs/>
          <w:sz w:val="18"/>
          <w:szCs w:val="18"/>
        </w:rPr>
        <w:t>There is no conflict of interest</w:t>
      </w:r>
      <w:r w:rsidRPr="005562ED">
        <w:rPr>
          <w:rFonts w:cstheme="minorHAnsi"/>
          <w:b/>
          <w:bCs/>
          <w:sz w:val="18"/>
          <w:szCs w:val="18"/>
        </w:rPr>
        <w:t xml:space="preserve"> </w:t>
      </w:r>
    </w:p>
    <w:p w:rsidR="005562ED" w:rsidRPr="005562ED" w:rsidRDefault="005562ED" w:rsidP="005562ED">
      <w:pPr>
        <w:spacing w:after="0" w:line="360" w:lineRule="auto"/>
        <w:rPr>
          <w:rFonts w:cstheme="minorHAnsi"/>
          <w:b/>
          <w:bCs/>
          <w:sz w:val="18"/>
          <w:szCs w:val="18"/>
        </w:rPr>
      </w:pPr>
      <w:r w:rsidRPr="005562ED">
        <w:rPr>
          <w:rFonts w:cstheme="minorHAnsi"/>
          <w:b/>
          <w:bCs/>
          <w:sz w:val="18"/>
          <w:szCs w:val="18"/>
        </w:rPr>
        <w:t>- Funding Information</w:t>
      </w:r>
      <w:r>
        <w:rPr>
          <w:rFonts w:cstheme="minorHAnsi"/>
          <w:b/>
          <w:bCs/>
          <w:sz w:val="18"/>
          <w:szCs w:val="18"/>
        </w:rPr>
        <w:t>: No Funding</w:t>
      </w:r>
    </w:p>
    <w:p w:rsidR="005562ED" w:rsidRPr="005562ED" w:rsidRDefault="005562ED" w:rsidP="005562ED">
      <w:pPr>
        <w:spacing w:after="0" w:line="360" w:lineRule="auto"/>
        <w:rPr>
          <w:rFonts w:cstheme="minorHAnsi"/>
          <w:b/>
          <w:bCs/>
          <w:sz w:val="18"/>
          <w:szCs w:val="18"/>
        </w:rPr>
      </w:pPr>
      <w:r w:rsidRPr="005562ED">
        <w:rPr>
          <w:rFonts w:cstheme="minorHAnsi"/>
          <w:b/>
          <w:bCs/>
          <w:sz w:val="18"/>
          <w:szCs w:val="18"/>
        </w:rPr>
        <w:t>- Author contribution</w:t>
      </w:r>
      <w:r>
        <w:rPr>
          <w:rFonts w:cstheme="minorHAnsi"/>
          <w:b/>
          <w:bCs/>
          <w:sz w:val="18"/>
          <w:szCs w:val="18"/>
        </w:rPr>
        <w:t xml:space="preserve">: </w:t>
      </w:r>
      <w:r w:rsidRPr="005562ED">
        <w:rPr>
          <w:rFonts w:cstheme="minorHAnsi"/>
          <w:b/>
          <w:bCs/>
          <w:color w:val="222222"/>
          <w:sz w:val="18"/>
          <w:szCs w:val="18"/>
          <w:shd w:val="clear" w:color="auto" w:fill="FFFFFF"/>
        </w:rPr>
        <w:t>‘Not Applicable’</w:t>
      </w:r>
    </w:p>
    <w:p w:rsidR="005562ED" w:rsidRPr="005562ED" w:rsidRDefault="005562ED" w:rsidP="005562ED">
      <w:pPr>
        <w:spacing w:after="0" w:line="360" w:lineRule="auto"/>
        <w:rPr>
          <w:rFonts w:cstheme="minorHAnsi"/>
          <w:b/>
          <w:bCs/>
          <w:sz w:val="18"/>
          <w:szCs w:val="18"/>
        </w:rPr>
      </w:pPr>
      <w:r w:rsidRPr="005562ED">
        <w:rPr>
          <w:rFonts w:cstheme="minorHAnsi"/>
          <w:b/>
          <w:bCs/>
          <w:sz w:val="18"/>
          <w:szCs w:val="18"/>
        </w:rPr>
        <w:t>- Data Availability Statement</w:t>
      </w:r>
      <w:r>
        <w:rPr>
          <w:rFonts w:cstheme="minorHAnsi"/>
          <w:b/>
          <w:bCs/>
          <w:sz w:val="18"/>
          <w:szCs w:val="18"/>
        </w:rPr>
        <w:t>:</w:t>
      </w:r>
      <w:r w:rsidRPr="005562ED">
        <w:rPr>
          <w:rFonts w:cstheme="minorHAnsi"/>
          <w:b/>
          <w:bCs/>
          <w:color w:val="222222"/>
          <w:sz w:val="18"/>
          <w:szCs w:val="18"/>
          <w:shd w:val="clear" w:color="auto" w:fill="FFFFFF"/>
        </w:rPr>
        <w:t xml:space="preserve"> ‘Not Applicable’</w:t>
      </w:r>
    </w:p>
    <w:p w:rsidR="005562ED" w:rsidRPr="005562ED" w:rsidRDefault="005562ED" w:rsidP="005562ED">
      <w:pPr>
        <w:spacing w:after="0" w:line="360" w:lineRule="auto"/>
        <w:rPr>
          <w:rFonts w:cstheme="minorHAnsi"/>
          <w:b/>
          <w:bCs/>
          <w:sz w:val="18"/>
          <w:szCs w:val="18"/>
        </w:rPr>
      </w:pPr>
      <w:r w:rsidRPr="005562ED">
        <w:rPr>
          <w:rFonts w:cstheme="minorHAnsi"/>
          <w:b/>
          <w:bCs/>
          <w:sz w:val="18"/>
          <w:szCs w:val="18"/>
        </w:rPr>
        <w:t>- Research Involving Human and /or Animals</w:t>
      </w:r>
      <w:r>
        <w:rPr>
          <w:rFonts w:cstheme="minorHAnsi"/>
          <w:b/>
          <w:bCs/>
          <w:sz w:val="18"/>
          <w:szCs w:val="18"/>
        </w:rPr>
        <w:t>:</w:t>
      </w:r>
      <w:r w:rsidRPr="005562ED">
        <w:rPr>
          <w:rFonts w:cstheme="minorHAnsi"/>
          <w:b/>
          <w:bCs/>
          <w:color w:val="222222"/>
          <w:sz w:val="18"/>
          <w:szCs w:val="18"/>
          <w:shd w:val="clear" w:color="auto" w:fill="FFFFFF"/>
        </w:rPr>
        <w:t xml:space="preserve"> ‘Not Applicable’</w:t>
      </w:r>
    </w:p>
    <w:p w:rsidR="005562ED" w:rsidRPr="005562ED" w:rsidRDefault="005562ED" w:rsidP="005562ED">
      <w:pPr>
        <w:spacing w:after="0" w:line="360" w:lineRule="auto"/>
        <w:rPr>
          <w:rFonts w:cstheme="minorHAnsi"/>
          <w:b/>
          <w:bCs/>
          <w:sz w:val="18"/>
          <w:szCs w:val="18"/>
        </w:rPr>
      </w:pPr>
      <w:r w:rsidRPr="005562ED">
        <w:rPr>
          <w:rFonts w:cstheme="minorHAnsi"/>
          <w:b/>
          <w:bCs/>
          <w:sz w:val="18"/>
          <w:szCs w:val="18"/>
        </w:rPr>
        <w:t>- Informed Consent</w:t>
      </w:r>
      <w:r>
        <w:rPr>
          <w:rFonts w:cstheme="minorHAnsi"/>
          <w:b/>
          <w:bCs/>
          <w:sz w:val="18"/>
          <w:szCs w:val="18"/>
        </w:rPr>
        <w:t xml:space="preserve">: </w:t>
      </w:r>
      <w:r w:rsidRPr="005562ED">
        <w:rPr>
          <w:rFonts w:cstheme="minorHAnsi"/>
          <w:b/>
          <w:bCs/>
          <w:color w:val="222222"/>
          <w:sz w:val="18"/>
          <w:szCs w:val="18"/>
          <w:shd w:val="clear" w:color="auto" w:fill="FFFFFF"/>
        </w:rPr>
        <w:t>‘Not Applicable’</w:t>
      </w:r>
    </w:p>
    <w:p w:rsidR="006A72F4" w:rsidRDefault="006A72F4" w:rsidP="004D0E2F">
      <w:pPr>
        <w:spacing w:after="0" w:line="360" w:lineRule="auto"/>
        <w:jc w:val="both"/>
        <w:rPr>
          <w:rFonts w:cstheme="minorHAnsi"/>
          <w:sz w:val="20"/>
          <w:szCs w:val="20"/>
        </w:rPr>
      </w:pPr>
      <w:bookmarkStart w:id="0" w:name="_GoBack"/>
      <w:bookmarkEnd w:id="0"/>
    </w:p>
    <w:p w:rsidR="006A72F4" w:rsidRPr="00DE4DC4" w:rsidRDefault="006A72F4" w:rsidP="006A72F4">
      <w:pPr>
        <w:spacing w:line="276" w:lineRule="auto"/>
        <w:jc w:val="both"/>
        <w:rPr>
          <w:b/>
          <w:bCs/>
        </w:rPr>
      </w:pPr>
      <w:r w:rsidRPr="00DE4DC4">
        <w:rPr>
          <w:b/>
          <w:bCs/>
        </w:rPr>
        <w:t>References:</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Aleb, N., Abu-Thabit, N.Y. TransTg: a new transformer model for predicting glass transition temperature of polymers from monomers’ molecular structures. Neural Comput</w:t>
      </w:r>
      <w:r w:rsidR="001B3744">
        <w:rPr>
          <w:rFonts w:eastAsia="Times New Roman" w:cstheme="minorHAnsi"/>
          <w:sz w:val="20"/>
          <w:szCs w:val="20"/>
        </w:rPr>
        <w:t>ing and</w:t>
      </w:r>
      <w:r w:rsidRPr="00DE4DC4">
        <w:rPr>
          <w:rFonts w:eastAsia="Times New Roman" w:cstheme="minorHAnsi"/>
          <w:sz w:val="20"/>
          <w:szCs w:val="20"/>
        </w:rPr>
        <w:t xml:space="preserve"> Applic</w:t>
      </w:r>
      <w:r w:rsidR="001B3744">
        <w:rPr>
          <w:rFonts w:eastAsia="Times New Roman" w:cstheme="minorHAnsi"/>
          <w:sz w:val="20"/>
          <w:szCs w:val="20"/>
        </w:rPr>
        <w:t>ation</w:t>
      </w:r>
      <w:r w:rsidRPr="00DE4DC4">
        <w:rPr>
          <w:rFonts w:eastAsia="Times New Roman" w:cstheme="minorHAnsi"/>
          <w:sz w:val="20"/>
          <w:szCs w:val="20"/>
        </w:rPr>
        <w:t xml:space="preserve"> 37, 2733–2746 (2025). https://doi.org/10.1007/s00521-024-10532-4</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Allen, M.P. and Tildesley, D.J. 2017. </w:t>
      </w:r>
      <w:r w:rsidRPr="00DE4DC4">
        <w:rPr>
          <w:rFonts w:eastAsia="Times New Roman" w:cstheme="minorHAnsi"/>
          <w:i/>
          <w:iCs/>
          <w:sz w:val="20"/>
          <w:szCs w:val="20"/>
        </w:rPr>
        <w:t>Computer Simulation of Liquids</w:t>
      </w:r>
      <w:r w:rsidRPr="00DE4DC4">
        <w:rPr>
          <w:rFonts w:eastAsia="Times New Roman" w:cstheme="minorHAnsi"/>
          <w:sz w:val="20"/>
          <w:szCs w:val="20"/>
        </w:rPr>
        <w:t> (2nd ed.). Oxford University Press.</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Anastas, P.T. and Warner, J.C. 1998. </w:t>
      </w:r>
      <w:r w:rsidRPr="00DE4DC4">
        <w:rPr>
          <w:rFonts w:eastAsia="Times New Roman" w:cstheme="minorHAnsi"/>
          <w:i/>
          <w:iCs/>
          <w:sz w:val="20"/>
          <w:szCs w:val="20"/>
        </w:rPr>
        <w:t>Green Chemistry: Theory and Practice</w:t>
      </w:r>
      <w:r w:rsidRPr="00DE4DC4">
        <w:rPr>
          <w:rFonts w:eastAsia="Times New Roman" w:cstheme="minorHAnsi"/>
          <w:sz w:val="20"/>
          <w:szCs w:val="20"/>
        </w:rPr>
        <w:t>. Oxford University Press.</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Angelopoulos, A.N. and Bates, S. 2021. A gentle introduction to conformal prediction and distribution, free uncertainty quantification. </w:t>
      </w:r>
      <w:r w:rsidRPr="00DE4DC4">
        <w:rPr>
          <w:rFonts w:eastAsia="Times New Roman" w:cstheme="minorHAnsi"/>
          <w:i/>
          <w:iCs/>
          <w:sz w:val="20"/>
          <w:szCs w:val="20"/>
        </w:rPr>
        <w:t>arXiv preprint arXiv:2107.07511</w:t>
      </w:r>
      <w:r w:rsidRPr="00DE4DC4">
        <w:rPr>
          <w:rFonts w:eastAsia="Times New Roman" w:cstheme="minorHAnsi"/>
          <w:sz w:val="20"/>
          <w:szCs w:val="20"/>
        </w:rPr>
        <w:t>.</w:t>
      </w:r>
    </w:p>
    <w:p w:rsidR="006A72F4" w:rsidRPr="00DE4DC4" w:rsidRDefault="006A72F4" w:rsidP="0011578A">
      <w:pPr>
        <w:pStyle w:val="ListParagraph"/>
        <w:numPr>
          <w:ilvl w:val="0"/>
          <w:numId w:val="50"/>
        </w:numPr>
        <w:spacing w:after="0" w:line="276" w:lineRule="auto"/>
        <w:ind w:hanging="720"/>
        <w:rPr>
          <w:rFonts w:eastAsia="Times New Roman" w:cstheme="minorHAnsi"/>
          <w:sz w:val="20"/>
          <w:szCs w:val="20"/>
        </w:rPr>
      </w:pPr>
      <w:r w:rsidRPr="00DE4DC4">
        <w:rPr>
          <w:rFonts w:eastAsia="Times New Roman" w:cstheme="minorHAnsi"/>
          <w:sz w:val="20"/>
          <w:szCs w:val="20"/>
        </w:rPr>
        <w:t>Antony, A.K. and de Pablo, J.J. 2022. polyBERT: A chemical language model to enable fully machine, driven ultrafast polymer informatics. </w:t>
      </w:r>
      <w:r w:rsidRPr="00DE4DC4">
        <w:rPr>
          <w:rFonts w:eastAsia="Times New Roman" w:cstheme="minorHAnsi"/>
          <w:i/>
          <w:iCs/>
          <w:sz w:val="20"/>
          <w:szCs w:val="20"/>
        </w:rPr>
        <w:t>Nature Communications</w:t>
      </w:r>
      <w:r w:rsidRPr="00DE4DC4">
        <w:rPr>
          <w:rFonts w:eastAsia="Times New Roman" w:cstheme="minorHAnsi"/>
          <w:sz w:val="20"/>
          <w:szCs w:val="20"/>
        </w:rPr>
        <w:t>. 13, 1, 3255. DOI:  https://doi.org/10.1038/s41467, 022, 30838, 4</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Ashok, N. et al. Polymer and Nanocomposite Informatics: Recent Applications of Artificial Intelligence and Data Repositories. In Advanced Machine Learning with Evolutionary and Metaheuristic Techniques; Springer, Singapore, 2024; pp. 297–322. DOI: https://doi.org/10.1007/978-981-99-9718-3_12</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lastRenderedPageBreak/>
        <w:t>Audus, D.J. and de Pablo, J.J. 2017. Polymer informatics: Opportunities and challenges. </w:t>
      </w:r>
      <w:r w:rsidRPr="00DE4DC4">
        <w:rPr>
          <w:rFonts w:eastAsia="Times New Roman" w:cstheme="minorHAnsi"/>
          <w:i/>
          <w:iCs/>
          <w:sz w:val="20"/>
          <w:szCs w:val="20"/>
        </w:rPr>
        <w:t>ACS Macro Letters</w:t>
      </w:r>
      <w:r w:rsidRPr="00DE4DC4">
        <w:rPr>
          <w:rFonts w:eastAsia="Times New Roman" w:cstheme="minorHAnsi"/>
          <w:sz w:val="20"/>
          <w:szCs w:val="20"/>
        </w:rPr>
        <w:t>. 6, 10, 1078–1082. DOI:  https://doi.org/10.1021/acsmacrolett.7b00228</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Bates, F.S. and Fredrickson, G.H. 1990. Block copolymer thermodynamics: Theory and experiment. </w:t>
      </w:r>
      <w:r w:rsidRPr="00DE4DC4">
        <w:rPr>
          <w:rFonts w:eastAsia="Times New Roman" w:cstheme="minorHAnsi"/>
          <w:i/>
          <w:iCs/>
          <w:sz w:val="20"/>
          <w:szCs w:val="20"/>
        </w:rPr>
        <w:t>Annual Review of Physical Chemistry</w:t>
      </w:r>
      <w:r w:rsidRPr="00DE4DC4">
        <w:rPr>
          <w:rFonts w:eastAsia="Times New Roman" w:cstheme="minorHAnsi"/>
          <w:sz w:val="20"/>
          <w:szCs w:val="20"/>
        </w:rPr>
        <w:t>. 41, 1, 525–557.</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Batzner, S. et al. 2022. E(3), equivariant graph neural networks for data, efficient and accurate interatomic potentials. </w:t>
      </w:r>
      <w:r w:rsidRPr="00DE4DC4">
        <w:rPr>
          <w:rFonts w:eastAsia="Times New Roman" w:cstheme="minorHAnsi"/>
          <w:i/>
          <w:iCs/>
          <w:sz w:val="20"/>
          <w:szCs w:val="20"/>
        </w:rPr>
        <w:t>Nature Communications</w:t>
      </w:r>
      <w:r w:rsidRPr="00DE4DC4">
        <w:rPr>
          <w:rFonts w:eastAsia="Times New Roman" w:cstheme="minorHAnsi"/>
          <w:sz w:val="20"/>
          <w:szCs w:val="20"/>
        </w:rPr>
        <w:t xml:space="preserve">. 13, 1, 2453. DOI: https://doi.org/10.1038/s41467, 022, 29939, 5 </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Bicerano, J. 2002. </w:t>
      </w:r>
      <w:r w:rsidRPr="00DE4DC4">
        <w:rPr>
          <w:rFonts w:eastAsia="Times New Roman" w:cstheme="minorHAnsi"/>
          <w:i/>
          <w:iCs/>
          <w:sz w:val="20"/>
          <w:szCs w:val="20"/>
        </w:rPr>
        <w:t>Prediction of Polymer Properties</w:t>
      </w:r>
      <w:r w:rsidRPr="00DE4DC4">
        <w:rPr>
          <w:rFonts w:eastAsia="Times New Roman" w:cstheme="minorHAnsi"/>
          <w:sz w:val="20"/>
          <w:szCs w:val="20"/>
        </w:rPr>
        <w:t> (3rd ed.). CRC Press.</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Blaschke, T. et al. 2020. Application of generative autoencoder in de novo molecular design. </w:t>
      </w:r>
      <w:r w:rsidRPr="00DE4DC4">
        <w:rPr>
          <w:rFonts w:eastAsia="Times New Roman" w:cstheme="minorHAnsi"/>
          <w:i/>
          <w:iCs/>
          <w:sz w:val="20"/>
          <w:szCs w:val="20"/>
        </w:rPr>
        <w:t>Molecular Informatics</w:t>
      </w:r>
      <w:r w:rsidRPr="00DE4DC4">
        <w:rPr>
          <w:rFonts w:eastAsia="Times New Roman" w:cstheme="minorHAnsi"/>
          <w:sz w:val="20"/>
          <w:szCs w:val="20"/>
        </w:rPr>
        <w:t>. 39, 1, 2, 1900121.</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Bronstein, M.M. et al. 2017. Geometric deep learning: Going beyond Euclidean data. </w:t>
      </w:r>
      <w:r w:rsidRPr="00DE4DC4">
        <w:rPr>
          <w:rFonts w:eastAsia="Times New Roman" w:cstheme="minorHAnsi"/>
          <w:i/>
          <w:iCs/>
          <w:sz w:val="20"/>
          <w:szCs w:val="20"/>
        </w:rPr>
        <w:t>IEEE Signal Processing Magazine</w:t>
      </w:r>
      <w:r w:rsidRPr="00DE4DC4">
        <w:rPr>
          <w:rFonts w:eastAsia="Times New Roman" w:cstheme="minorHAnsi"/>
          <w:sz w:val="20"/>
          <w:szCs w:val="20"/>
        </w:rPr>
        <w:t>. 34, 4, 18–42.</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Brown, T.B. et al. 2020. Language models are few, shot learners. In </w:t>
      </w:r>
      <w:r w:rsidRPr="00DE4DC4">
        <w:rPr>
          <w:rFonts w:eastAsia="Times New Roman" w:cstheme="minorHAnsi"/>
          <w:i/>
          <w:iCs/>
          <w:sz w:val="20"/>
          <w:szCs w:val="20"/>
        </w:rPr>
        <w:t>Advances in Neural Information Processing Systems 33 (NeurIPS 2020)</w:t>
      </w:r>
      <w:r w:rsidRPr="00DE4DC4">
        <w:rPr>
          <w:rFonts w:eastAsia="Times New Roman" w:cstheme="minorHAnsi"/>
          <w:sz w:val="20"/>
          <w:szCs w:val="20"/>
        </w:rPr>
        <w:t>, 1877–1901.</w:t>
      </w:r>
    </w:p>
    <w:p w:rsidR="006A72F4" w:rsidRPr="00DE4DC4" w:rsidRDefault="006A72F4" w:rsidP="0011578A">
      <w:pPr>
        <w:pStyle w:val="ListParagraph"/>
        <w:numPr>
          <w:ilvl w:val="0"/>
          <w:numId w:val="50"/>
        </w:numPr>
        <w:spacing w:after="0" w:line="276" w:lineRule="auto"/>
        <w:ind w:hanging="720"/>
        <w:rPr>
          <w:rFonts w:eastAsia="Times New Roman" w:cstheme="minorHAnsi"/>
          <w:sz w:val="20"/>
          <w:szCs w:val="20"/>
        </w:rPr>
      </w:pPr>
      <w:r w:rsidRPr="00DE4DC4">
        <w:rPr>
          <w:rFonts w:eastAsia="Times New Roman" w:cstheme="minorHAnsi"/>
          <w:sz w:val="20"/>
          <w:szCs w:val="20"/>
        </w:rPr>
        <w:t>Butler, K.T. et al. 2018. Machine learning for molecular and materials science. </w:t>
      </w:r>
      <w:r w:rsidRPr="00DE4DC4">
        <w:rPr>
          <w:rFonts w:eastAsia="Times New Roman" w:cstheme="minorHAnsi"/>
          <w:i/>
          <w:iCs/>
          <w:sz w:val="20"/>
          <w:szCs w:val="20"/>
        </w:rPr>
        <w:t>Nature</w:t>
      </w:r>
      <w:r w:rsidRPr="00DE4DC4">
        <w:rPr>
          <w:rFonts w:eastAsia="Times New Roman" w:cstheme="minorHAnsi"/>
          <w:sz w:val="20"/>
          <w:szCs w:val="20"/>
        </w:rPr>
        <w:t xml:space="preserve">. 559, 7715, 547–555. DOI: https://doi.org/10.1038/s41586, 018, 0337, 2 </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Caruana, R. 1997. Multitask learning. </w:t>
      </w:r>
      <w:r w:rsidRPr="00DE4DC4">
        <w:rPr>
          <w:rFonts w:eastAsia="Times New Roman" w:cstheme="minorHAnsi"/>
          <w:i/>
          <w:iCs/>
          <w:sz w:val="20"/>
          <w:szCs w:val="20"/>
        </w:rPr>
        <w:t>Machine Learning</w:t>
      </w:r>
      <w:r w:rsidRPr="00DE4DC4">
        <w:rPr>
          <w:rFonts w:eastAsia="Times New Roman" w:cstheme="minorHAnsi"/>
          <w:sz w:val="20"/>
          <w:szCs w:val="20"/>
        </w:rPr>
        <w:t>. 28, 1, 41–75.</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Chen, G. et al. 2023. Multimodal learning for materials: A systematic review. </w:t>
      </w:r>
      <w:r w:rsidRPr="00DE4DC4">
        <w:rPr>
          <w:rFonts w:eastAsia="Times New Roman" w:cstheme="minorHAnsi"/>
          <w:i/>
          <w:iCs/>
          <w:sz w:val="20"/>
          <w:szCs w:val="20"/>
        </w:rPr>
        <w:t>Nature Reviews Materials</w:t>
      </w:r>
      <w:r w:rsidRPr="00DE4DC4">
        <w:rPr>
          <w:rFonts w:eastAsia="Times New Roman" w:cstheme="minorHAnsi"/>
          <w:sz w:val="20"/>
          <w:szCs w:val="20"/>
        </w:rPr>
        <w:t>. 8, 5, 326–344.</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Chen, L., Pilania, G., Batra, R., and Ramprasad, R. 2021. Polymer informatics: Current status and critical next steps. </w:t>
      </w:r>
      <w:r w:rsidRPr="00DE4DC4">
        <w:rPr>
          <w:rFonts w:eastAsia="Times New Roman" w:cstheme="minorHAnsi"/>
          <w:i/>
          <w:iCs/>
          <w:sz w:val="20"/>
          <w:szCs w:val="20"/>
        </w:rPr>
        <w:t>Materials Science and Engineering: R: Reports</w:t>
      </w:r>
      <w:r w:rsidRPr="00DE4DC4">
        <w:rPr>
          <w:rFonts w:eastAsia="Times New Roman" w:cstheme="minorHAnsi"/>
          <w:sz w:val="20"/>
          <w:szCs w:val="20"/>
        </w:rPr>
        <w:t>. 144, 100595. DOI: https://doi.org/10.1016/j.mser.2021.100595</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Chen, T. et al. 2020. A simple framework for contrastive learning of visual representations. In </w:t>
      </w:r>
      <w:r w:rsidRPr="00DE4DC4">
        <w:rPr>
          <w:rFonts w:eastAsia="Times New Roman" w:cstheme="minorHAnsi"/>
          <w:i/>
          <w:iCs/>
          <w:sz w:val="20"/>
          <w:szCs w:val="20"/>
        </w:rPr>
        <w:t>Proceedings of the 37th International Conference on Machine Learning (ICML 2020)</w:t>
      </w:r>
      <w:r w:rsidRPr="00DE4DC4">
        <w:rPr>
          <w:rFonts w:eastAsia="Times New Roman" w:cstheme="minorHAnsi"/>
          <w:sz w:val="20"/>
          <w:szCs w:val="20"/>
        </w:rPr>
        <w:t>, 1597–1607.</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Chithrananda, S., Grand, G., and Ramsundar, B. 2020. ChemBERTa: Large, scale self, supervised pretraining for molecular property prediction. </w:t>
      </w:r>
      <w:r w:rsidRPr="00DE4DC4">
        <w:rPr>
          <w:rFonts w:eastAsia="Times New Roman" w:cstheme="minorHAnsi"/>
          <w:i/>
          <w:iCs/>
          <w:sz w:val="20"/>
          <w:szCs w:val="20"/>
        </w:rPr>
        <w:t>arXiv preprint arXiv:2010.09885</w:t>
      </w:r>
      <w:r w:rsidRPr="00DE4DC4">
        <w:rPr>
          <w:rFonts w:eastAsia="Times New Roman" w:cstheme="minorHAnsi"/>
          <w:sz w:val="20"/>
          <w:szCs w:val="20"/>
        </w:rPr>
        <w:t>.</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Coley, C.W., Green, W.H., and Jensen, K.F. 2019. A robotic platform for flow synthesis of organic compounds informed by AI planning. </w:t>
      </w:r>
      <w:r w:rsidRPr="00DE4DC4">
        <w:rPr>
          <w:rFonts w:eastAsia="Times New Roman" w:cstheme="minorHAnsi"/>
          <w:i/>
          <w:iCs/>
          <w:sz w:val="20"/>
          <w:szCs w:val="20"/>
        </w:rPr>
        <w:t>Science</w:t>
      </w:r>
      <w:r w:rsidRPr="00DE4DC4">
        <w:rPr>
          <w:rFonts w:eastAsia="Times New Roman" w:cstheme="minorHAnsi"/>
          <w:sz w:val="20"/>
          <w:szCs w:val="20"/>
        </w:rPr>
        <w:t>. 365, 6453, eaax1566.</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Court, C.J. and Cole, J.M. 2020. Auto, generated materials database of Curie and Néel temperatures via semi, supervised relationship extraction. </w:t>
      </w:r>
      <w:r w:rsidRPr="00DE4DC4">
        <w:rPr>
          <w:rFonts w:eastAsia="Times New Roman" w:cstheme="minorHAnsi"/>
          <w:i/>
          <w:iCs/>
          <w:sz w:val="20"/>
          <w:szCs w:val="20"/>
        </w:rPr>
        <w:t>Scientific Data</w:t>
      </w:r>
      <w:r w:rsidRPr="00DE4DC4">
        <w:rPr>
          <w:rFonts w:eastAsia="Times New Roman" w:cstheme="minorHAnsi"/>
          <w:sz w:val="20"/>
          <w:szCs w:val="20"/>
        </w:rPr>
        <w:t>. 7, 1, 276.</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Curtarolo, S. et al. 2013. The high, throughput highway to computational materials design. </w:t>
      </w:r>
      <w:r w:rsidRPr="00DE4DC4">
        <w:rPr>
          <w:rFonts w:eastAsia="Times New Roman" w:cstheme="minorHAnsi"/>
          <w:i/>
          <w:iCs/>
          <w:sz w:val="20"/>
          <w:szCs w:val="20"/>
        </w:rPr>
        <w:t>Nature Materials</w:t>
      </w:r>
      <w:r w:rsidRPr="00DE4DC4">
        <w:rPr>
          <w:rFonts w:eastAsia="Times New Roman" w:cstheme="minorHAnsi"/>
          <w:sz w:val="20"/>
          <w:szCs w:val="20"/>
        </w:rPr>
        <w:t>. 12, 3, 191–201.</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De Cao, N. and Kipf, T. 2018. MolGAN: An implicit generative model for small molecular graphs. In </w:t>
      </w:r>
      <w:r w:rsidRPr="00DE4DC4">
        <w:rPr>
          <w:rFonts w:eastAsia="Times New Roman" w:cstheme="minorHAnsi"/>
          <w:i/>
          <w:iCs/>
          <w:sz w:val="20"/>
          <w:szCs w:val="20"/>
        </w:rPr>
        <w:t>ICML 2018 Workshop on Theoretical Foundations and Applications of Deep Generative Models</w:t>
      </w:r>
      <w:r w:rsidRPr="00DE4DC4">
        <w:rPr>
          <w:rFonts w:eastAsia="Times New Roman" w:cstheme="minorHAnsi"/>
          <w:sz w:val="20"/>
          <w:szCs w:val="20"/>
        </w:rPr>
        <w:t>.</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de Gennes, P.G. 1979. </w:t>
      </w:r>
      <w:r w:rsidRPr="00DE4DC4">
        <w:rPr>
          <w:rFonts w:eastAsia="Times New Roman" w:cstheme="minorHAnsi"/>
          <w:i/>
          <w:iCs/>
          <w:sz w:val="20"/>
          <w:szCs w:val="20"/>
        </w:rPr>
        <w:t>Scaling Concepts in Polymer Physics</w:t>
      </w:r>
      <w:r w:rsidRPr="00DE4DC4">
        <w:rPr>
          <w:rFonts w:eastAsia="Times New Roman" w:cstheme="minorHAnsi"/>
          <w:sz w:val="20"/>
          <w:szCs w:val="20"/>
        </w:rPr>
        <w:t>. Cornell University Press.</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Devlin, J. et al. 2019. BERT: Pre, training of deep bidirectional transformers for language understanding. In </w:t>
      </w:r>
      <w:r w:rsidRPr="00DE4DC4">
        <w:rPr>
          <w:rFonts w:eastAsia="Times New Roman" w:cstheme="minorHAnsi"/>
          <w:i/>
          <w:iCs/>
          <w:sz w:val="20"/>
          <w:szCs w:val="20"/>
        </w:rPr>
        <w:t>Proceedings of the 2019 Conference of the North American Chapter of the Association for Computational Linguistics: Human Language Technologies</w:t>
      </w:r>
      <w:r w:rsidRPr="00DE4DC4">
        <w:rPr>
          <w:rFonts w:eastAsia="Times New Roman" w:cstheme="minorHAnsi"/>
          <w:sz w:val="20"/>
          <w:szCs w:val="20"/>
        </w:rPr>
        <w:t>, 4171–4186.</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Doi, M. 1996. </w:t>
      </w:r>
      <w:r w:rsidRPr="00DE4DC4">
        <w:rPr>
          <w:rFonts w:eastAsia="Times New Roman" w:cstheme="minorHAnsi"/>
          <w:i/>
          <w:iCs/>
          <w:sz w:val="20"/>
          <w:szCs w:val="20"/>
        </w:rPr>
        <w:t>Introduction to Polymer Physics</w:t>
      </w:r>
      <w:r w:rsidRPr="00DE4DC4">
        <w:rPr>
          <w:rFonts w:eastAsia="Times New Roman" w:cstheme="minorHAnsi"/>
          <w:sz w:val="20"/>
          <w:szCs w:val="20"/>
        </w:rPr>
        <w:t>. Oxford University Press.</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Doi, M. and Edwards, S.F. 1986. </w:t>
      </w:r>
      <w:r w:rsidRPr="00DE4DC4">
        <w:rPr>
          <w:rFonts w:eastAsia="Times New Roman" w:cstheme="minorHAnsi"/>
          <w:i/>
          <w:iCs/>
          <w:sz w:val="20"/>
          <w:szCs w:val="20"/>
        </w:rPr>
        <w:t>The Theory of Polymer Dynamics</w:t>
      </w:r>
      <w:r w:rsidRPr="00DE4DC4">
        <w:rPr>
          <w:rFonts w:eastAsia="Times New Roman" w:cstheme="minorHAnsi"/>
          <w:sz w:val="20"/>
          <w:szCs w:val="20"/>
        </w:rPr>
        <w:t>. Oxford University Press.</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Draxl, C. and Scheffler, M. 2018. The NOMAD Laboratory: From data sharing to artificial intelligence. </w:t>
      </w:r>
      <w:r w:rsidRPr="00DE4DC4">
        <w:rPr>
          <w:rFonts w:eastAsia="Times New Roman" w:cstheme="minorHAnsi"/>
          <w:i/>
          <w:iCs/>
          <w:sz w:val="20"/>
          <w:szCs w:val="20"/>
        </w:rPr>
        <w:t>Journal of Physics: Materials</w:t>
      </w:r>
      <w:r w:rsidRPr="00DE4DC4">
        <w:rPr>
          <w:rFonts w:eastAsia="Times New Roman" w:cstheme="minorHAnsi"/>
          <w:sz w:val="20"/>
          <w:szCs w:val="20"/>
        </w:rPr>
        <w:t>. 2, 3, 036001.</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Duvenaud, D.K. et al. 2015. Convolutional networks on graphs for learning molecular fingerprints. In </w:t>
      </w:r>
      <w:r w:rsidRPr="00DE4DC4">
        <w:rPr>
          <w:rFonts w:eastAsia="Times New Roman" w:cstheme="minorHAnsi"/>
          <w:i/>
          <w:iCs/>
          <w:sz w:val="20"/>
          <w:szCs w:val="20"/>
        </w:rPr>
        <w:t>Advances in Neural Information Processing Systems 28 (NIPS 2015)</w:t>
      </w:r>
      <w:r w:rsidRPr="00DE4DC4">
        <w:rPr>
          <w:rFonts w:eastAsia="Times New Roman" w:cstheme="minorHAnsi"/>
          <w:sz w:val="20"/>
          <w:szCs w:val="20"/>
        </w:rPr>
        <w:t>, 2224–2232.</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Feng, S. et al. 2022. A general, purpose material property data extraction pipeline from large polymer corpora using natural language processing. </w:t>
      </w:r>
      <w:r w:rsidRPr="00DE4DC4">
        <w:rPr>
          <w:rFonts w:eastAsia="Times New Roman" w:cstheme="minorHAnsi"/>
          <w:i/>
          <w:iCs/>
          <w:sz w:val="20"/>
          <w:szCs w:val="20"/>
        </w:rPr>
        <w:t>npj Computational Materials</w:t>
      </w:r>
      <w:r w:rsidRPr="00DE4DC4">
        <w:rPr>
          <w:rFonts w:eastAsia="Times New Roman" w:cstheme="minorHAnsi"/>
          <w:sz w:val="20"/>
          <w:szCs w:val="20"/>
        </w:rPr>
        <w:t>. 8, 1, 1–11.</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lastRenderedPageBreak/>
        <w:t>Fernandes  (2025), Scientific Machine Learning for Polymeric Materials ,Journal: Polymers 2025, 17(16), 2222 DOI:10.3390/polym17162222 , August 14, 2025</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Flam, Shepherd, D. et al. 2022. Language models can learn complex molecular distributions. </w:t>
      </w:r>
      <w:r w:rsidRPr="00DE4DC4">
        <w:rPr>
          <w:rFonts w:eastAsia="Times New Roman" w:cstheme="minorHAnsi"/>
          <w:i/>
          <w:iCs/>
          <w:sz w:val="20"/>
          <w:szCs w:val="20"/>
        </w:rPr>
        <w:t>Nature Communications</w:t>
      </w:r>
      <w:r w:rsidRPr="00DE4DC4">
        <w:rPr>
          <w:rFonts w:eastAsia="Times New Roman" w:cstheme="minorHAnsi"/>
          <w:sz w:val="20"/>
          <w:szCs w:val="20"/>
        </w:rPr>
        <w:t>. 13, 1, 3293.</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Flory, P.J. 1953. </w:t>
      </w:r>
      <w:r w:rsidRPr="00DE4DC4">
        <w:rPr>
          <w:rFonts w:eastAsia="Times New Roman" w:cstheme="minorHAnsi"/>
          <w:i/>
          <w:iCs/>
          <w:sz w:val="20"/>
          <w:szCs w:val="20"/>
        </w:rPr>
        <w:t>Principles of Polymer Chemistry</w:t>
      </w:r>
      <w:r w:rsidRPr="00DE4DC4">
        <w:rPr>
          <w:rFonts w:eastAsia="Times New Roman" w:cstheme="minorHAnsi"/>
          <w:sz w:val="20"/>
          <w:szCs w:val="20"/>
        </w:rPr>
        <w:t>. Cornell University Press.</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Flory, P.J. and Huggins, M.L. 1941. Thermodynamics of polymer solutions. </w:t>
      </w:r>
      <w:r w:rsidRPr="00DE4DC4">
        <w:rPr>
          <w:rFonts w:eastAsia="Times New Roman" w:cstheme="minorHAnsi"/>
          <w:i/>
          <w:iCs/>
          <w:sz w:val="20"/>
          <w:szCs w:val="20"/>
        </w:rPr>
        <w:t>Journal of Chemical Physics</w:t>
      </w:r>
      <w:r w:rsidRPr="00DE4DC4">
        <w:rPr>
          <w:rFonts w:eastAsia="Times New Roman" w:cstheme="minorHAnsi"/>
          <w:sz w:val="20"/>
          <w:szCs w:val="20"/>
        </w:rPr>
        <w:t>. 9, 8, 660–661.</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Fredrickson, G.H. 2006. </w:t>
      </w:r>
      <w:r w:rsidRPr="00DE4DC4">
        <w:rPr>
          <w:rFonts w:eastAsia="Times New Roman" w:cstheme="minorHAnsi"/>
          <w:i/>
          <w:iCs/>
          <w:sz w:val="20"/>
          <w:szCs w:val="20"/>
        </w:rPr>
        <w:t>The Equilibrium Theory of Inhomogeneous Polymers</w:t>
      </w:r>
      <w:r w:rsidRPr="00DE4DC4">
        <w:rPr>
          <w:rFonts w:eastAsia="Times New Roman" w:cstheme="minorHAnsi"/>
          <w:sz w:val="20"/>
          <w:szCs w:val="20"/>
        </w:rPr>
        <w:t>. Oxford University Press.</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Frenkel, D. and Smit, B. 2001. </w:t>
      </w:r>
      <w:r w:rsidRPr="00DE4DC4">
        <w:rPr>
          <w:rFonts w:eastAsia="Times New Roman" w:cstheme="minorHAnsi"/>
          <w:i/>
          <w:iCs/>
          <w:sz w:val="20"/>
          <w:szCs w:val="20"/>
        </w:rPr>
        <w:t>Understanding Molecular Simulation: From Algorithms to Applications</w:t>
      </w:r>
      <w:r w:rsidRPr="00DE4DC4">
        <w:rPr>
          <w:rFonts w:eastAsia="Times New Roman" w:cstheme="minorHAnsi"/>
          <w:sz w:val="20"/>
          <w:szCs w:val="20"/>
        </w:rPr>
        <w:t> (2nd ed.). Academic Press.</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Fuchs, F.B. et al. 2020. SE(3), Transformers: 3D roto, translation equivariant attention networks. In </w:t>
      </w:r>
      <w:r w:rsidRPr="00DE4DC4">
        <w:rPr>
          <w:rFonts w:eastAsia="Times New Roman" w:cstheme="minorHAnsi"/>
          <w:i/>
          <w:iCs/>
          <w:sz w:val="20"/>
          <w:szCs w:val="20"/>
        </w:rPr>
        <w:t>Advances in Neural Information Processing Systems 33 (NeurIPS 2020)</w:t>
      </w:r>
      <w:r w:rsidRPr="00DE4DC4">
        <w:rPr>
          <w:rFonts w:eastAsia="Times New Roman" w:cstheme="minorHAnsi"/>
          <w:sz w:val="20"/>
          <w:szCs w:val="20"/>
        </w:rPr>
        <w:t>, 1970–1981.</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Gal, Y. and Ghahramani, Z. 2016. Dropout as a Bayesian approximation: Representing model uncertainty in deep learning. In </w:t>
      </w:r>
      <w:r w:rsidRPr="00DE4DC4">
        <w:rPr>
          <w:rFonts w:eastAsia="Times New Roman" w:cstheme="minorHAnsi"/>
          <w:i/>
          <w:iCs/>
          <w:sz w:val="20"/>
          <w:szCs w:val="20"/>
        </w:rPr>
        <w:t>Proceedings of the 33rd International Conference on Machine Learning (ICML 2016)</w:t>
      </w:r>
      <w:r w:rsidRPr="00DE4DC4">
        <w:rPr>
          <w:rFonts w:eastAsia="Times New Roman" w:cstheme="minorHAnsi"/>
          <w:sz w:val="20"/>
          <w:szCs w:val="20"/>
        </w:rPr>
        <w:t>, 1050–1059.</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Gao, H., Li, J., and Ramprasad, R. 2024. Self, supervised representation learning for polymers using contrastive learning. </w:t>
      </w:r>
      <w:r w:rsidRPr="00DE4DC4">
        <w:rPr>
          <w:rFonts w:eastAsia="Times New Roman" w:cstheme="minorHAnsi"/>
          <w:i/>
          <w:iCs/>
          <w:sz w:val="20"/>
          <w:szCs w:val="20"/>
        </w:rPr>
        <w:t>Journal of Chemical Information and Modeling</w:t>
      </w:r>
      <w:r w:rsidRPr="00DE4DC4">
        <w:rPr>
          <w:rFonts w:eastAsia="Times New Roman" w:cstheme="minorHAnsi"/>
          <w:sz w:val="20"/>
          <w:szCs w:val="20"/>
        </w:rPr>
        <w:t>. 64, 3, 1123–1135.</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Gebauer, N.W.A. et al. 2022. Inverse design of 3D molecular structures with conditional generative neural networks. </w:t>
      </w:r>
      <w:r w:rsidRPr="00DE4DC4">
        <w:rPr>
          <w:rFonts w:eastAsia="Times New Roman" w:cstheme="minorHAnsi"/>
          <w:i/>
          <w:iCs/>
          <w:sz w:val="20"/>
          <w:szCs w:val="20"/>
        </w:rPr>
        <w:t>Nature Communications</w:t>
      </w:r>
      <w:r w:rsidRPr="00DE4DC4">
        <w:rPr>
          <w:rFonts w:eastAsia="Times New Roman" w:cstheme="minorHAnsi"/>
          <w:sz w:val="20"/>
          <w:szCs w:val="20"/>
        </w:rPr>
        <w:t>. 13, 1, 973.</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Gilmer, J. et al. 2017. Neural message passing for quantum chemistry. In </w:t>
      </w:r>
      <w:r w:rsidRPr="00DE4DC4">
        <w:rPr>
          <w:rFonts w:eastAsia="Times New Roman" w:cstheme="minorHAnsi"/>
          <w:i/>
          <w:iCs/>
          <w:sz w:val="20"/>
          <w:szCs w:val="20"/>
        </w:rPr>
        <w:t>Proceedings of the 34th International Conference on Machine Learning (ICML 2017)</w:t>
      </w:r>
      <w:r w:rsidRPr="00DE4DC4">
        <w:rPr>
          <w:rFonts w:eastAsia="Times New Roman" w:cstheme="minorHAnsi"/>
          <w:sz w:val="20"/>
          <w:szCs w:val="20"/>
        </w:rPr>
        <w:t>, 1263–1272.</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Glymour, C., Zhang, K., and Spirtes, P. 2019. Review of causal discovery methods based on graphical models. </w:t>
      </w:r>
      <w:r w:rsidRPr="00DE4DC4">
        <w:rPr>
          <w:rFonts w:eastAsia="Times New Roman" w:cstheme="minorHAnsi"/>
          <w:i/>
          <w:iCs/>
          <w:sz w:val="20"/>
          <w:szCs w:val="20"/>
        </w:rPr>
        <w:t>Frontiers in Genetics</w:t>
      </w:r>
      <w:r w:rsidRPr="00DE4DC4">
        <w:rPr>
          <w:rFonts w:eastAsia="Times New Roman" w:cstheme="minorHAnsi"/>
          <w:sz w:val="20"/>
          <w:szCs w:val="20"/>
        </w:rPr>
        <w:t>. 10, 524.</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Gómez, Bombarelli, R. et al. 2018. Automatic chemical design using a data, driven continuous representation of molecules. </w:t>
      </w:r>
      <w:r w:rsidRPr="00DE4DC4">
        <w:rPr>
          <w:rFonts w:eastAsia="Times New Roman" w:cstheme="minorHAnsi"/>
          <w:i/>
          <w:iCs/>
          <w:sz w:val="20"/>
          <w:szCs w:val="20"/>
        </w:rPr>
        <w:t>ACS Central Science</w:t>
      </w:r>
      <w:r w:rsidRPr="00DE4DC4">
        <w:rPr>
          <w:rFonts w:eastAsia="Times New Roman" w:cstheme="minorHAnsi"/>
          <w:sz w:val="20"/>
          <w:szCs w:val="20"/>
        </w:rPr>
        <w:t>. 4, 2, 268–276.</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Goodfellow, I., Bengio, Y., and Courville, A. 2016. </w:t>
      </w:r>
      <w:r w:rsidRPr="00DE4DC4">
        <w:rPr>
          <w:rFonts w:eastAsia="Times New Roman" w:cstheme="minorHAnsi"/>
          <w:i/>
          <w:iCs/>
          <w:sz w:val="20"/>
          <w:szCs w:val="20"/>
        </w:rPr>
        <w:t>Deep Learning</w:t>
      </w:r>
      <w:r w:rsidRPr="00DE4DC4">
        <w:rPr>
          <w:rFonts w:eastAsia="Times New Roman" w:cstheme="minorHAnsi"/>
          <w:sz w:val="20"/>
          <w:szCs w:val="20"/>
        </w:rPr>
        <w:t>. MIT Press.</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Goodfellow, I.J. et al. 2014. Generative adversarial networks. In </w:t>
      </w:r>
      <w:r w:rsidRPr="00DE4DC4">
        <w:rPr>
          <w:rFonts w:eastAsia="Times New Roman" w:cstheme="minorHAnsi"/>
          <w:i/>
          <w:iCs/>
          <w:sz w:val="20"/>
          <w:szCs w:val="20"/>
        </w:rPr>
        <w:t>Advances in Neural Information Processing Systems 27 (NIPS 2014)</w:t>
      </w:r>
      <w:r w:rsidRPr="00DE4DC4">
        <w:rPr>
          <w:rFonts w:eastAsia="Times New Roman" w:cstheme="minorHAnsi"/>
          <w:sz w:val="20"/>
          <w:szCs w:val="20"/>
        </w:rPr>
        <w:t>.</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Granda, J.M. et al. 2018. Controlling an organic synthesis robot with machine learning to search for new reactivity. </w:t>
      </w:r>
      <w:r w:rsidRPr="00DE4DC4">
        <w:rPr>
          <w:rFonts w:eastAsia="Times New Roman" w:cstheme="minorHAnsi"/>
          <w:i/>
          <w:iCs/>
          <w:sz w:val="20"/>
          <w:szCs w:val="20"/>
        </w:rPr>
        <w:t>Nature</w:t>
      </w:r>
      <w:r w:rsidRPr="00DE4DC4">
        <w:rPr>
          <w:rFonts w:eastAsia="Times New Roman" w:cstheme="minorHAnsi"/>
          <w:sz w:val="20"/>
          <w:szCs w:val="20"/>
        </w:rPr>
        <w:t>. 559, 7714, 377–381.</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Grest, G.S. and Kremer, K. 1986. Molecular dynamics simulation for polymers in the presence of a heat bath. </w:t>
      </w:r>
      <w:r w:rsidRPr="00DE4DC4">
        <w:rPr>
          <w:rFonts w:eastAsia="Times New Roman" w:cstheme="minorHAnsi"/>
          <w:i/>
          <w:iCs/>
          <w:sz w:val="20"/>
          <w:szCs w:val="20"/>
        </w:rPr>
        <w:t>Physical Review A</w:t>
      </w:r>
      <w:r w:rsidRPr="00DE4DC4">
        <w:rPr>
          <w:rFonts w:eastAsia="Times New Roman" w:cstheme="minorHAnsi"/>
          <w:sz w:val="20"/>
          <w:szCs w:val="20"/>
        </w:rPr>
        <w:t>. 33, 5, 3628–3631.</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Guo, C. et al. 2017. On calibration of modern neural networks. In </w:t>
      </w:r>
      <w:r w:rsidRPr="00DE4DC4">
        <w:rPr>
          <w:rFonts w:eastAsia="Times New Roman" w:cstheme="minorHAnsi"/>
          <w:i/>
          <w:iCs/>
          <w:sz w:val="20"/>
          <w:szCs w:val="20"/>
        </w:rPr>
        <w:t>Proceedings of the 34th International Conference on Machine Learning (ICML 2017)</w:t>
      </w:r>
      <w:r w:rsidRPr="00DE4DC4">
        <w:rPr>
          <w:rFonts w:eastAsia="Times New Roman" w:cstheme="minorHAnsi"/>
          <w:sz w:val="20"/>
          <w:szCs w:val="20"/>
        </w:rPr>
        <w:t>, 1321–1330.</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Guo, Q., Hernandez-Hernandez, S., &amp; Ballester, P. J. (2024). Scaffold Splits Overestimate Virtual Screening Performance. arXiv preprint arXiv:2406.00873. https://arxiv.org/abs/2406.00873</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He, K. et al. 2016. Deep residual learning for image recognition. In </w:t>
      </w:r>
      <w:r w:rsidRPr="00DE4DC4">
        <w:rPr>
          <w:rFonts w:eastAsia="Times New Roman" w:cstheme="minorHAnsi"/>
          <w:i/>
          <w:iCs/>
          <w:sz w:val="20"/>
          <w:szCs w:val="20"/>
        </w:rPr>
        <w:t>Proceedings of the IEEE Conference on Computer Vision and Pattern Recognition (CVPR 2016)</w:t>
      </w:r>
      <w:r w:rsidRPr="00DE4DC4">
        <w:rPr>
          <w:rFonts w:eastAsia="Times New Roman" w:cstheme="minorHAnsi"/>
          <w:sz w:val="20"/>
          <w:szCs w:val="20"/>
        </w:rPr>
        <w:t>, 770–778.</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Heller, S.R. et al. 2015. InchI, the IUPAC International Chemical Identifier. </w:t>
      </w:r>
      <w:r w:rsidRPr="00DE4DC4">
        <w:rPr>
          <w:rFonts w:eastAsia="Times New Roman" w:cstheme="minorHAnsi"/>
          <w:i/>
          <w:iCs/>
          <w:sz w:val="20"/>
          <w:szCs w:val="20"/>
        </w:rPr>
        <w:t>Journal of Cheminformatics</w:t>
      </w:r>
      <w:r w:rsidRPr="00DE4DC4">
        <w:rPr>
          <w:rFonts w:eastAsia="Times New Roman" w:cstheme="minorHAnsi"/>
          <w:sz w:val="20"/>
          <w:szCs w:val="20"/>
        </w:rPr>
        <w:t>. 7, 1, 23.</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Hendrickson, C. et al. 2006. </w:t>
      </w:r>
      <w:r w:rsidRPr="00DE4DC4">
        <w:rPr>
          <w:rFonts w:eastAsia="Times New Roman" w:cstheme="minorHAnsi"/>
          <w:i/>
          <w:iCs/>
          <w:sz w:val="20"/>
          <w:szCs w:val="20"/>
        </w:rPr>
        <w:t>Environmental Life Cycle Assessment of Goods and Services: An Input, Output Approach</w:t>
      </w:r>
      <w:r w:rsidRPr="00DE4DC4">
        <w:rPr>
          <w:rFonts w:eastAsia="Times New Roman" w:cstheme="minorHAnsi"/>
          <w:sz w:val="20"/>
          <w:szCs w:val="20"/>
        </w:rPr>
        <w:t>. Resources for the Future.</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Ho, J., Jain, A., and Abbeel, P. 2020. Denoising diffusion probabilistic models. In </w:t>
      </w:r>
      <w:r w:rsidRPr="00DE4DC4">
        <w:rPr>
          <w:rFonts w:eastAsia="Times New Roman" w:cstheme="minorHAnsi"/>
          <w:i/>
          <w:iCs/>
          <w:sz w:val="20"/>
          <w:szCs w:val="20"/>
        </w:rPr>
        <w:t>Advances in Neural Information Processing Systems 33 (NeurIPS 2020)</w:t>
      </w:r>
      <w:r w:rsidRPr="00DE4DC4">
        <w:rPr>
          <w:rFonts w:eastAsia="Times New Roman" w:cstheme="minorHAnsi"/>
          <w:sz w:val="20"/>
          <w:szCs w:val="20"/>
        </w:rPr>
        <w:t>, 6840–6851.</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Hoogeboom, E. et al. 2022. Equivariant diffusion for molecule generation in 3D. In </w:t>
      </w:r>
      <w:r w:rsidRPr="00DE4DC4">
        <w:rPr>
          <w:rFonts w:eastAsia="Times New Roman" w:cstheme="minorHAnsi"/>
          <w:i/>
          <w:iCs/>
          <w:sz w:val="20"/>
          <w:szCs w:val="20"/>
        </w:rPr>
        <w:t>Proceedings of the 39th International Conference on Machine Learning (ICML 2022)</w:t>
      </w:r>
      <w:r w:rsidRPr="00DE4DC4">
        <w:rPr>
          <w:rFonts w:eastAsia="Times New Roman" w:cstheme="minorHAnsi"/>
          <w:sz w:val="20"/>
          <w:szCs w:val="20"/>
        </w:rPr>
        <w:t>, 8867–8887.</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lastRenderedPageBreak/>
        <w:t>Hu, W. et al. 2020. Strategies for pre, training graph neural networks. In </w:t>
      </w:r>
      <w:r w:rsidRPr="00DE4DC4">
        <w:rPr>
          <w:rFonts w:eastAsia="Times New Roman" w:cstheme="minorHAnsi"/>
          <w:i/>
          <w:iCs/>
          <w:sz w:val="20"/>
          <w:szCs w:val="20"/>
        </w:rPr>
        <w:t>International Conference on Learning Representations (ICLR 2020)</w:t>
      </w:r>
      <w:r w:rsidRPr="00DE4DC4">
        <w:rPr>
          <w:rFonts w:eastAsia="Times New Roman" w:cstheme="minorHAnsi"/>
          <w:sz w:val="20"/>
          <w:szCs w:val="20"/>
        </w:rPr>
        <w:t>.</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Huan, T.D., Mannodi, Kanakkithodi, A., and Ramprasad, R. 2016. Accelerated materials property predictions and design using machine learning. </w:t>
      </w:r>
      <w:r w:rsidRPr="00DE4DC4">
        <w:rPr>
          <w:rFonts w:eastAsia="Times New Roman" w:cstheme="minorHAnsi"/>
          <w:i/>
          <w:iCs/>
          <w:sz w:val="20"/>
          <w:szCs w:val="20"/>
        </w:rPr>
        <w:t>Scientific Reports</w:t>
      </w:r>
      <w:r w:rsidRPr="00DE4DC4">
        <w:rPr>
          <w:rFonts w:eastAsia="Times New Roman" w:cstheme="minorHAnsi"/>
          <w:sz w:val="20"/>
          <w:szCs w:val="20"/>
        </w:rPr>
        <w:t>. 6, 1, 23282.</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Huang, Z., Wang, T., and Kim, E. 2025. Uni-Poly: A unified multimodal deep learning framework for polymer informatics. </w:t>
      </w:r>
      <w:r w:rsidRPr="00DE4DC4">
        <w:rPr>
          <w:rFonts w:eastAsia="Times New Roman" w:cstheme="minorHAnsi"/>
          <w:i/>
          <w:iCs/>
          <w:sz w:val="20"/>
          <w:szCs w:val="20"/>
        </w:rPr>
        <w:t>Nature Machine Intelligence</w:t>
      </w:r>
      <w:r w:rsidRPr="00DE4DC4">
        <w:rPr>
          <w:rFonts w:eastAsia="Times New Roman" w:cstheme="minorHAnsi"/>
          <w:sz w:val="20"/>
          <w:szCs w:val="20"/>
        </w:rPr>
        <w:t>. 7, 2, 145–158.</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Hüllermeier, E. and Waegeman, W. 2021. Aleatoric and epistemic uncertainty in machine learning: An introduction to concepts and methods. </w:t>
      </w:r>
      <w:r w:rsidRPr="00DE4DC4">
        <w:rPr>
          <w:rFonts w:eastAsia="Times New Roman" w:cstheme="minorHAnsi"/>
          <w:i/>
          <w:iCs/>
          <w:sz w:val="20"/>
          <w:szCs w:val="20"/>
        </w:rPr>
        <w:t>Machine Learning</w:t>
      </w:r>
      <w:r w:rsidRPr="00DE4DC4">
        <w:rPr>
          <w:rFonts w:eastAsia="Times New Roman" w:cstheme="minorHAnsi"/>
          <w:sz w:val="20"/>
          <w:szCs w:val="20"/>
        </w:rPr>
        <w:t>. 110, 3, 457–506.</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Irwin, J.J. and Shoichet, B.K. 2005. ZINC – A free database of commercially available compounds for virtual screening. </w:t>
      </w:r>
      <w:r w:rsidRPr="00DE4DC4">
        <w:rPr>
          <w:rFonts w:eastAsia="Times New Roman" w:cstheme="minorHAnsi"/>
          <w:i/>
          <w:iCs/>
          <w:sz w:val="20"/>
          <w:szCs w:val="20"/>
        </w:rPr>
        <w:t>Journal of Chemical Information and Modeling</w:t>
      </w:r>
      <w:r w:rsidRPr="00DE4DC4">
        <w:rPr>
          <w:rFonts w:eastAsia="Times New Roman" w:cstheme="minorHAnsi"/>
          <w:sz w:val="20"/>
          <w:szCs w:val="20"/>
        </w:rPr>
        <w:t>. 45, 1, 177–182.</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Jablonka, K.M. et al. 2021. Using collective knowledge to assign oxidation states. </w:t>
      </w:r>
      <w:r w:rsidRPr="00DE4DC4">
        <w:rPr>
          <w:rFonts w:eastAsia="Times New Roman" w:cstheme="minorHAnsi"/>
          <w:i/>
          <w:iCs/>
          <w:sz w:val="20"/>
          <w:szCs w:val="20"/>
        </w:rPr>
        <w:t>Nature Chemistry</w:t>
      </w:r>
      <w:r w:rsidRPr="00DE4DC4">
        <w:rPr>
          <w:rFonts w:eastAsia="Times New Roman" w:cstheme="minorHAnsi"/>
          <w:sz w:val="20"/>
          <w:szCs w:val="20"/>
        </w:rPr>
        <w:t>. 13, 8, 771–777.</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Jain, A. et al. 2013. Commentary: The Materials Project: A materials genome approach to accelerating materials innovation. </w:t>
      </w:r>
      <w:r w:rsidRPr="00DE4DC4">
        <w:rPr>
          <w:rFonts w:eastAsia="Times New Roman" w:cstheme="minorHAnsi"/>
          <w:i/>
          <w:iCs/>
          <w:sz w:val="20"/>
          <w:szCs w:val="20"/>
        </w:rPr>
        <w:t>APL Materials</w:t>
      </w:r>
      <w:r w:rsidRPr="00DE4DC4">
        <w:rPr>
          <w:rFonts w:eastAsia="Times New Roman" w:cstheme="minorHAnsi"/>
          <w:sz w:val="20"/>
          <w:szCs w:val="20"/>
        </w:rPr>
        <w:t>. 1, 1, 011002.</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Janet, J.P. et al. 2020. Accurate multiobjective design in a space of millions of transition metal complexes with neural, network, driven efficient global optimization. </w:t>
      </w:r>
      <w:r w:rsidRPr="00DE4DC4">
        <w:rPr>
          <w:rFonts w:eastAsia="Times New Roman" w:cstheme="minorHAnsi"/>
          <w:i/>
          <w:iCs/>
          <w:sz w:val="20"/>
          <w:szCs w:val="20"/>
        </w:rPr>
        <w:t>ACS Central Science</w:t>
      </w:r>
      <w:r w:rsidRPr="00DE4DC4">
        <w:rPr>
          <w:rFonts w:eastAsia="Times New Roman" w:cstheme="minorHAnsi"/>
          <w:sz w:val="20"/>
          <w:szCs w:val="20"/>
        </w:rPr>
        <w:t>. 6, 4, 513–524.</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Jin, W., Barzilay, R., and Jaakkola, T. 2018. Junction tree variational autoencoder for molecular graph generation. In </w:t>
      </w:r>
      <w:r w:rsidRPr="00DE4DC4">
        <w:rPr>
          <w:rFonts w:eastAsia="Times New Roman" w:cstheme="minorHAnsi"/>
          <w:i/>
          <w:iCs/>
          <w:sz w:val="20"/>
          <w:szCs w:val="20"/>
        </w:rPr>
        <w:t>Proceedings of the 35th International Conference on Machine Learning (ICML 2018)</w:t>
      </w:r>
      <w:r w:rsidRPr="00DE4DC4">
        <w:rPr>
          <w:rFonts w:eastAsia="Times New Roman" w:cstheme="minorHAnsi"/>
          <w:sz w:val="20"/>
          <w:szCs w:val="20"/>
        </w:rPr>
        <w:t>, 2323–2332.</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Jobin, A., Ienca, M., and Vayena, E. 2019. The global landscape of AI ethics guidelines. </w:t>
      </w:r>
      <w:r w:rsidRPr="00DE4DC4">
        <w:rPr>
          <w:rFonts w:eastAsia="Times New Roman" w:cstheme="minorHAnsi"/>
          <w:i/>
          <w:iCs/>
          <w:sz w:val="20"/>
          <w:szCs w:val="20"/>
        </w:rPr>
        <w:t>Nature Machine Intelligence</w:t>
      </w:r>
      <w:r w:rsidRPr="00DE4DC4">
        <w:rPr>
          <w:rFonts w:eastAsia="Times New Roman" w:cstheme="minorHAnsi"/>
          <w:sz w:val="20"/>
          <w:szCs w:val="20"/>
        </w:rPr>
        <w:t>. 1, 9, 389–399.</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Jumper, J. et al. 2021. Highly accurate protein structure prediction with AlphaFold. </w:t>
      </w:r>
      <w:r w:rsidRPr="00DE4DC4">
        <w:rPr>
          <w:rFonts w:eastAsia="Times New Roman" w:cstheme="minorHAnsi"/>
          <w:i/>
          <w:iCs/>
          <w:sz w:val="20"/>
          <w:szCs w:val="20"/>
        </w:rPr>
        <w:t>Nature</w:t>
      </w:r>
      <w:r w:rsidRPr="00DE4DC4">
        <w:rPr>
          <w:rFonts w:eastAsia="Times New Roman" w:cstheme="minorHAnsi"/>
          <w:sz w:val="20"/>
          <w:szCs w:val="20"/>
        </w:rPr>
        <w:t>. 596, 7873, 583–589.</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Karniadakis, G.E. et al. 2021. Physics, informed machine learning. </w:t>
      </w:r>
      <w:r w:rsidRPr="00DE4DC4">
        <w:rPr>
          <w:rFonts w:eastAsia="Times New Roman" w:cstheme="minorHAnsi"/>
          <w:i/>
          <w:iCs/>
          <w:sz w:val="20"/>
          <w:szCs w:val="20"/>
        </w:rPr>
        <w:t>Nature Reviews Physics</w:t>
      </w:r>
      <w:r w:rsidRPr="00DE4DC4">
        <w:rPr>
          <w:rFonts w:eastAsia="Times New Roman" w:cstheme="minorHAnsi"/>
          <w:sz w:val="20"/>
          <w:szCs w:val="20"/>
        </w:rPr>
        <w:t>. 3, 6, 422–440.</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Katritzky, A.R., Lobanov, V.S., and Karelson, M. 1998. QSPR: The correlation and quantitative prediction of chemical and physical properties from structure. </w:t>
      </w:r>
      <w:r w:rsidRPr="00DE4DC4">
        <w:rPr>
          <w:rFonts w:eastAsia="Times New Roman" w:cstheme="minorHAnsi"/>
          <w:i/>
          <w:iCs/>
          <w:sz w:val="20"/>
          <w:szCs w:val="20"/>
        </w:rPr>
        <w:t>Chemical Society Reviews</w:t>
      </w:r>
      <w:r w:rsidRPr="00DE4DC4">
        <w:rPr>
          <w:rFonts w:eastAsia="Times New Roman" w:cstheme="minorHAnsi"/>
          <w:sz w:val="20"/>
          <w:szCs w:val="20"/>
        </w:rPr>
        <w:t>. 27, 5, 279–287.</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Kearnes, S. et al. 2016. Molecular graph convolutions: Moving beyond fingerprints. </w:t>
      </w:r>
      <w:r w:rsidRPr="00DE4DC4">
        <w:rPr>
          <w:rFonts w:eastAsia="Times New Roman" w:cstheme="minorHAnsi"/>
          <w:i/>
          <w:iCs/>
          <w:sz w:val="20"/>
          <w:szCs w:val="20"/>
        </w:rPr>
        <w:t>Journal of Computer, Aided Molecular Design</w:t>
      </w:r>
      <w:r w:rsidRPr="00DE4DC4">
        <w:rPr>
          <w:rFonts w:eastAsia="Times New Roman" w:cstheme="minorHAnsi"/>
          <w:sz w:val="20"/>
          <w:szCs w:val="20"/>
        </w:rPr>
        <w:t>. 30, 8, 595–608.</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Kendall, A. and Gal, Y. 2017. What uncertainties do we need in Bayesian deep learning for computer vision? In </w:t>
      </w:r>
      <w:r w:rsidRPr="00DE4DC4">
        <w:rPr>
          <w:rFonts w:eastAsia="Times New Roman" w:cstheme="minorHAnsi"/>
          <w:i/>
          <w:iCs/>
          <w:sz w:val="20"/>
          <w:szCs w:val="20"/>
        </w:rPr>
        <w:t>Advances in Neural Information Processing Systems 30 (NIPS 2017)</w:t>
      </w:r>
      <w:r w:rsidRPr="00DE4DC4">
        <w:rPr>
          <w:rFonts w:eastAsia="Times New Roman" w:cstheme="minorHAnsi"/>
          <w:sz w:val="20"/>
          <w:szCs w:val="20"/>
        </w:rPr>
        <w:t>.</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Kennedy, M.C. and O'Hagan, A. 2001. Bayesian calibration of computer models. </w:t>
      </w:r>
      <w:r w:rsidRPr="00DE4DC4">
        <w:rPr>
          <w:rFonts w:eastAsia="Times New Roman" w:cstheme="minorHAnsi"/>
          <w:i/>
          <w:iCs/>
          <w:sz w:val="20"/>
          <w:szCs w:val="20"/>
        </w:rPr>
        <w:t>Journal of the Royal Statistical Society: Series B (Statistical Methodology)</w:t>
      </w:r>
      <w:r w:rsidRPr="00DE4DC4">
        <w:rPr>
          <w:rFonts w:eastAsia="Times New Roman" w:cstheme="minorHAnsi"/>
          <w:sz w:val="20"/>
          <w:szCs w:val="20"/>
        </w:rPr>
        <w:t>. 63, 3, 425–464.</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Kim, C. et al. 2018. Polymer design using genetic algorithm and machine learning. </w:t>
      </w:r>
      <w:r w:rsidRPr="00DE4DC4">
        <w:rPr>
          <w:rFonts w:eastAsia="Times New Roman" w:cstheme="minorHAnsi"/>
          <w:i/>
          <w:iCs/>
          <w:sz w:val="20"/>
          <w:szCs w:val="20"/>
        </w:rPr>
        <w:t>Computational Materials Science</w:t>
      </w:r>
      <w:r w:rsidRPr="00DE4DC4">
        <w:rPr>
          <w:rFonts w:eastAsia="Times New Roman" w:cstheme="minorHAnsi"/>
          <w:sz w:val="20"/>
          <w:szCs w:val="20"/>
        </w:rPr>
        <w:t>. 150, 239–252.</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Kim, E. et al. 2017. Automated extraction of polymer property data from scientific literature using natural language processing. </w:t>
      </w:r>
      <w:r w:rsidRPr="00DE4DC4">
        <w:rPr>
          <w:rFonts w:eastAsia="Times New Roman" w:cstheme="minorHAnsi"/>
          <w:i/>
          <w:iCs/>
          <w:sz w:val="20"/>
          <w:szCs w:val="20"/>
        </w:rPr>
        <w:t>Scientific Data</w:t>
      </w:r>
      <w:r w:rsidRPr="00DE4DC4">
        <w:rPr>
          <w:rFonts w:eastAsia="Times New Roman" w:cstheme="minorHAnsi"/>
          <w:sz w:val="20"/>
          <w:szCs w:val="20"/>
        </w:rPr>
        <w:t>. 4, 170043.</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Kim, S. et al. 2018. Bayesian optimization and active learning for polymer discovery. </w:t>
      </w:r>
      <w:r w:rsidRPr="00DE4DC4">
        <w:rPr>
          <w:rFonts w:eastAsia="Times New Roman" w:cstheme="minorHAnsi"/>
          <w:i/>
          <w:iCs/>
          <w:sz w:val="20"/>
          <w:szCs w:val="20"/>
        </w:rPr>
        <w:t>Chemistry of Materials</w:t>
      </w:r>
      <w:r w:rsidRPr="00DE4DC4">
        <w:rPr>
          <w:rFonts w:eastAsia="Times New Roman" w:cstheme="minorHAnsi"/>
          <w:sz w:val="20"/>
          <w:szCs w:val="20"/>
        </w:rPr>
        <w:t>. 30, 18, 6360–6372.</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Kingma, D.P. and Welling, M. 2014. Auto, encoding variational Bayes. In </w:t>
      </w:r>
      <w:r w:rsidRPr="00DE4DC4">
        <w:rPr>
          <w:rFonts w:eastAsia="Times New Roman" w:cstheme="minorHAnsi"/>
          <w:i/>
          <w:iCs/>
          <w:sz w:val="20"/>
          <w:szCs w:val="20"/>
        </w:rPr>
        <w:t>International Conference on Learning Representations (ICLR 2014)</w:t>
      </w:r>
      <w:r w:rsidRPr="00DE4DC4">
        <w:rPr>
          <w:rFonts w:eastAsia="Times New Roman" w:cstheme="minorHAnsi"/>
          <w:sz w:val="20"/>
          <w:szCs w:val="20"/>
        </w:rPr>
        <w:t>.</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Kipf, T.N. and Welling, M. 2017. Semi, supervised classification with graph convolutional networks. In </w:t>
      </w:r>
      <w:r w:rsidRPr="00DE4DC4">
        <w:rPr>
          <w:rFonts w:eastAsia="Times New Roman" w:cstheme="minorHAnsi"/>
          <w:i/>
          <w:iCs/>
          <w:sz w:val="20"/>
          <w:szCs w:val="20"/>
        </w:rPr>
        <w:t>International Conference on Learning Representations (ICLR 2017)</w:t>
      </w:r>
      <w:r w:rsidRPr="00DE4DC4">
        <w:rPr>
          <w:rFonts w:eastAsia="Times New Roman" w:cstheme="minorHAnsi"/>
          <w:sz w:val="20"/>
          <w:szCs w:val="20"/>
        </w:rPr>
        <w:t>.</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Krenn, M. et al. 2020. SELFIES: A robust representation of semantically constrained graphs with an example application in chemistry. </w:t>
      </w:r>
      <w:r w:rsidRPr="00DE4DC4">
        <w:rPr>
          <w:rFonts w:eastAsia="Times New Roman" w:cstheme="minorHAnsi"/>
          <w:i/>
          <w:iCs/>
          <w:sz w:val="20"/>
          <w:szCs w:val="20"/>
        </w:rPr>
        <w:t>Machine Learning: Science and Technology</w:t>
      </w:r>
      <w:r w:rsidRPr="00DE4DC4">
        <w:rPr>
          <w:rFonts w:eastAsia="Times New Roman" w:cstheme="minorHAnsi"/>
          <w:sz w:val="20"/>
          <w:szCs w:val="20"/>
        </w:rPr>
        <w:t>. 1, 4, 045024.</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Krizhevsky, A., Sutskever, I., and Hinton, G.E. 2012. ImageNet classification with deep convolutional neural networks. In </w:t>
      </w:r>
      <w:r w:rsidRPr="00DE4DC4">
        <w:rPr>
          <w:rFonts w:eastAsia="Times New Roman" w:cstheme="minorHAnsi"/>
          <w:i/>
          <w:iCs/>
          <w:sz w:val="20"/>
          <w:szCs w:val="20"/>
        </w:rPr>
        <w:t>Advances in Neural Information Processing Systems 25 (NIPS 2012)</w:t>
      </w:r>
      <w:r w:rsidRPr="00DE4DC4">
        <w:rPr>
          <w:rFonts w:eastAsia="Times New Roman" w:cstheme="minorHAnsi"/>
          <w:sz w:val="20"/>
          <w:szCs w:val="20"/>
        </w:rPr>
        <w:t>, 1097–1105.</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lastRenderedPageBreak/>
        <w:t>Kuenneth, C. et al. 2021. polyBERT: A chemical language model for polymer property prediction. </w:t>
      </w:r>
      <w:r w:rsidRPr="00DE4DC4">
        <w:rPr>
          <w:rFonts w:eastAsia="Times New Roman" w:cstheme="minorHAnsi"/>
          <w:i/>
          <w:iCs/>
          <w:sz w:val="20"/>
          <w:szCs w:val="20"/>
        </w:rPr>
        <w:t>Nature Communications</w:t>
      </w:r>
      <w:r w:rsidRPr="00DE4DC4">
        <w:rPr>
          <w:rFonts w:eastAsia="Times New Roman" w:cstheme="minorHAnsi"/>
          <w:sz w:val="20"/>
          <w:szCs w:val="20"/>
        </w:rPr>
        <w:t>. 12, 1, 7271.</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Kuenneth, C. et al. 2022. Polymer informatics with multi, task learning. </w:t>
      </w:r>
      <w:r w:rsidRPr="00DE4DC4">
        <w:rPr>
          <w:rFonts w:eastAsia="Times New Roman" w:cstheme="minorHAnsi"/>
          <w:i/>
          <w:iCs/>
          <w:sz w:val="20"/>
          <w:szCs w:val="20"/>
        </w:rPr>
        <w:t>Patterns</w:t>
      </w:r>
      <w:r w:rsidRPr="00DE4DC4">
        <w:rPr>
          <w:rFonts w:eastAsia="Times New Roman" w:cstheme="minorHAnsi"/>
          <w:sz w:val="20"/>
          <w:szCs w:val="20"/>
        </w:rPr>
        <w:t>. 3, 4, 100474.</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Lakshminarayanan, B., Pritzel, A., and Blundell, C. 2017. Simple and scalable predictive uncertainty estimation using deep ensembles. In </w:t>
      </w:r>
      <w:r w:rsidRPr="00DE4DC4">
        <w:rPr>
          <w:rFonts w:eastAsia="Times New Roman" w:cstheme="minorHAnsi"/>
          <w:i/>
          <w:iCs/>
          <w:sz w:val="20"/>
          <w:szCs w:val="20"/>
        </w:rPr>
        <w:t>Advances in Neural Information Processing Systems 30 (NIPS 2017)</w:t>
      </w:r>
      <w:r w:rsidRPr="00DE4DC4">
        <w:rPr>
          <w:rFonts w:eastAsia="Times New Roman" w:cstheme="minorHAnsi"/>
          <w:sz w:val="20"/>
          <w:szCs w:val="20"/>
        </w:rPr>
        <w:t>.</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LeCun, Y., Bengio, Y., and Hinton, G. 2015. Deep learning. </w:t>
      </w:r>
      <w:r w:rsidRPr="00DE4DC4">
        <w:rPr>
          <w:rFonts w:eastAsia="Times New Roman" w:cstheme="minorHAnsi"/>
          <w:i/>
          <w:iCs/>
          <w:sz w:val="20"/>
          <w:szCs w:val="20"/>
        </w:rPr>
        <w:t>Nature</w:t>
      </w:r>
      <w:r w:rsidRPr="00DE4DC4">
        <w:rPr>
          <w:rFonts w:eastAsia="Times New Roman" w:cstheme="minorHAnsi"/>
          <w:sz w:val="20"/>
          <w:szCs w:val="20"/>
        </w:rPr>
        <w:t>. 521, 7553, 436–444.</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Leibler, L. 1980. Theory of microphase separation in block copolymers. </w:t>
      </w:r>
      <w:r w:rsidRPr="00DE4DC4">
        <w:rPr>
          <w:rFonts w:eastAsia="Times New Roman" w:cstheme="minorHAnsi"/>
          <w:i/>
          <w:iCs/>
          <w:sz w:val="20"/>
          <w:szCs w:val="20"/>
        </w:rPr>
        <w:t>Macromolecules</w:t>
      </w:r>
      <w:r w:rsidRPr="00DE4DC4">
        <w:rPr>
          <w:rFonts w:eastAsia="Times New Roman" w:cstheme="minorHAnsi"/>
          <w:sz w:val="20"/>
          <w:szCs w:val="20"/>
        </w:rPr>
        <w:t>. 13, 6, 1602–1617.</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Li, Y.; Yue, T. Machine Learning for Polymer Informatics. ACS In Focus; American Chemical Society: Washington, DC, 2024. DOI: https://doi.org/10.1021/acsinfocus.7e8007</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Li, X., Zhang, Y., and Wang, C. 2022. Predicting mechanical properties of 3D, printed polymers using multilayer perceptrons. </w:t>
      </w:r>
      <w:r w:rsidRPr="00DE4DC4">
        <w:rPr>
          <w:rFonts w:eastAsia="Times New Roman" w:cstheme="minorHAnsi"/>
          <w:i/>
          <w:iCs/>
          <w:sz w:val="20"/>
          <w:szCs w:val="20"/>
        </w:rPr>
        <w:t>Additive Manufacturing</w:t>
      </w:r>
      <w:r w:rsidRPr="00DE4DC4">
        <w:rPr>
          <w:rFonts w:eastAsia="Times New Roman" w:cstheme="minorHAnsi"/>
          <w:sz w:val="20"/>
          <w:szCs w:val="20"/>
        </w:rPr>
        <w:t>. 50, 102567.</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Lin, T., S. et al. 2019. BigSMILES: A structurally, based line notation for describing macromolecules. </w:t>
      </w:r>
      <w:r w:rsidRPr="00DE4DC4">
        <w:rPr>
          <w:rFonts w:eastAsia="Times New Roman" w:cstheme="minorHAnsi"/>
          <w:i/>
          <w:iCs/>
          <w:sz w:val="20"/>
          <w:szCs w:val="20"/>
        </w:rPr>
        <w:t>ACS Central Science</w:t>
      </w:r>
      <w:r w:rsidRPr="00DE4DC4">
        <w:rPr>
          <w:rFonts w:eastAsia="Times New Roman" w:cstheme="minorHAnsi"/>
          <w:sz w:val="20"/>
          <w:szCs w:val="20"/>
        </w:rPr>
        <w:t>. 5, 9, 1523–1531.</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Liu, R., Xu, M., and Zhang, L. 2025. Generative design of novel polymer architectures using VAE, GAN frameworks. </w:t>
      </w:r>
      <w:r w:rsidRPr="00DE4DC4">
        <w:rPr>
          <w:rFonts w:eastAsia="Times New Roman" w:cstheme="minorHAnsi"/>
          <w:i/>
          <w:iCs/>
          <w:sz w:val="20"/>
          <w:szCs w:val="20"/>
        </w:rPr>
        <w:t>ACS Applied Materials and Interfaces</w:t>
      </w:r>
      <w:r w:rsidRPr="00DE4DC4">
        <w:rPr>
          <w:rFonts w:eastAsia="Times New Roman" w:cstheme="minorHAnsi"/>
          <w:sz w:val="20"/>
          <w:szCs w:val="20"/>
        </w:rPr>
        <w:t>. 17, 8, 10234–10247.</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Lodge, T.P. 2008. Reconciliation of the molecular weight dependence of diffusion and viscosity in entangled polymers. </w:t>
      </w:r>
      <w:r w:rsidRPr="00DE4DC4">
        <w:rPr>
          <w:rFonts w:eastAsia="Times New Roman" w:cstheme="minorHAnsi"/>
          <w:i/>
          <w:iCs/>
          <w:sz w:val="20"/>
          <w:szCs w:val="20"/>
        </w:rPr>
        <w:t>Physical Review Letters</w:t>
      </w:r>
      <w:r w:rsidRPr="00DE4DC4">
        <w:rPr>
          <w:rFonts w:eastAsia="Times New Roman" w:cstheme="minorHAnsi"/>
          <w:sz w:val="20"/>
          <w:szCs w:val="20"/>
        </w:rPr>
        <w:t>. 100, 9, 095702.</w:t>
      </w:r>
    </w:p>
    <w:p w:rsidR="006A72F4" w:rsidRPr="00DE4DC4" w:rsidRDefault="006A72F4" w:rsidP="0011578A">
      <w:pPr>
        <w:pStyle w:val="ListParagraph"/>
        <w:numPr>
          <w:ilvl w:val="0"/>
          <w:numId w:val="50"/>
        </w:numPr>
        <w:spacing w:before="100" w:beforeAutospacing="1" w:after="100" w:afterAutospacing="1" w:line="276" w:lineRule="auto"/>
        <w:ind w:hanging="720"/>
        <w:rPr>
          <w:rFonts w:eastAsia="Times New Roman" w:cstheme="minorHAnsi"/>
          <w:sz w:val="20"/>
          <w:szCs w:val="20"/>
        </w:rPr>
      </w:pPr>
      <w:r w:rsidRPr="00DE4DC4">
        <w:rPr>
          <w:rFonts w:eastAsia="Times New Roman" w:cstheme="minorHAnsi"/>
          <w:sz w:val="20"/>
          <w:szCs w:val="20"/>
        </w:rPr>
        <w:t xml:space="preserve">Long, T.; Pang, Q.; Deng, Y.; Pang, X.; Zhang, Y.; Yang, R.; Zhou, C. Recent Progress of Artificial Intelligence Application in Polymer Materials. </w:t>
      </w:r>
      <w:r w:rsidRPr="00DE4DC4">
        <w:rPr>
          <w:rFonts w:eastAsia="Times New Roman" w:cstheme="minorHAnsi"/>
          <w:i/>
          <w:iCs/>
          <w:sz w:val="20"/>
          <w:szCs w:val="20"/>
        </w:rPr>
        <w:t>Polymers</w:t>
      </w:r>
      <w:r w:rsidRPr="00DE4DC4">
        <w:rPr>
          <w:rFonts w:eastAsia="Times New Roman" w:cstheme="minorHAnsi"/>
          <w:sz w:val="20"/>
          <w:szCs w:val="20"/>
        </w:rPr>
        <w:t xml:space="preserve"> 2025, 17, 1667. DOI: </w:t>
      </w:r>
      <w:hyperlink r:id="rId9" w:history="1">
        <w:r w:rsidRPr="00DE4DC4">
          <w:rPr>
            <w:rStyle w:val="Hyperlink"/>
            <w:rFonts w:eastAsia="Times New Roman" w:cstheme="minorHAnsi"/>
            <w:sz w:val="20"/>
            <w:szCs w:val="20"/>
          </w:rPr>
          <w:t>https://doi.org/10.3390/polym17121667</w:t>
        </w:r>
      </w:hyperlink>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Lundberg, S.M. and Lee, S., I. 2017. A unified approach to interpreting model predictions. In </w:t>
      </w:r>
      <w:r w:rsidRPr="00DE4DC4">
        <w:rPr>
          <w:rFonts w:eastAsia="Times New Roman" w:cstheme="minorHAnsi"/>
          <w:i/>
          <w:iCs/>
          <w:sz w:val="20"/>
          <w:szCs w:val="20"/>
        </w:rPr>
        <w:t>Advances in Neural Information Processing Systems 30 (NIPS 2017)</w:t>
      </w:r>
      <w:r w:rsidRPr="00DE4DC4">
        <w:rPr>
          <w:rFonts w:eastAsia="Times New Roman" w:cstheme="minorHAnsi"/>
          <w:sz w:val="20"/>
          <w:szCs w:val="20"/>
        </w:rPr>
        <w:t>.</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MacLeod, B.P. et al. 2020. Self, driving laboratory for accelerated discovery of thin, film materials. </w:t>
      </w:r>
      <w:r w:rsidRPr="00DE4DC4">
        <w:rPr>
          <w:rFonts w:eastAsia="Times New Roman" w:cstheme="minorHAnsi"/>
          <w:i/>
          <w:iCs/>
          <w:sz w:val="20"/>
          <w:szCs w:val="20"/>
        </w:rPr>
        <w:t>Science Advances</w:t>
      </w:r>
      <w:r w:rsidRPr="00DE4DC4">
        <w:rPr>
          <w:rFonts w:eastAsia="Times New Roman" w:cstheme="minorHAnsi"/>
          <w:sz w:val="20"/>
          <w:szCs w:val="20"/>
        </w:rPr>
        <w:t>. 6, 20, eaaz8867.</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Mannodi, Kanakkithodi, A. et al. 2016. Machine learning strategy for accelerated design of polymer dielectrics. </w:t>
      </w:r>
      <w:r w:rsidRPr="00DE4DC4">
        <w:rPr>
          <w:rFonts w:eastAsia="Times New Roman" w:cstheme="minorHAnsi"/>
          <w:i/>
          <w:iCs/>
          <w:sz w:val="20"/>
          <w:szCs w:val="20"/>
        </w:rPr>
        <w:t>Scientific Reports</w:t>
      </w:r>
      <w:r w:rsidRPr="00DE4DC4">
        <w:rPr>
          <w:rFonts w:eastAsia="Times New Roman" w:cstheme="minorHAnsi"/>
          <w:sz w:val="20"/>
          <w:szCs w:val="20"/>
        </w:rPr>
        <w:t>. 6, 1, 20952.</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Materials Project. n.d. </w:t>
      </w:r>
      <w:r w:rsidRPr="00DE4DC4">
        <w:rPr>
          <w:rFonts w:eastAsia="Times New Roman" w:cstheme="minorHAnsi"/>
          <w:i/>
          <w:iCs/>
          <w:sz w:val="20"/>
          <w:szCs w:val="20"/>
        </w:rPr>
        <w:t>A materials genome approach</w:t>
      </w:r>
      <w:r w:rsidRPr="00DE4DC4">
        <w:rPr>
          <w:rFonts w:eastAsia="Times New Roman" w:cstheme="minorHAnsi"/>
          <w:sz w:val="20"/>
          <w:szCs w:val="20"/>
        </w:rPr>
        <w:t>. Lawrence Berkeley National Laboratory. Retrieved from  https://materialsproject.org</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Mattioni, A., Zhang, T., and Müller, M. 2022. Deep learning for polymer rheology prediction from processing histories. </w:t>
      </w:r>
      <w:r w:rsidRPr="00DE4DC4">
        <w:rPr>
          <w:rFonts w:eastAsia="Times New Roman" w:cstheme="minorHAnsi"/>
          <w:i/>
          <w:iCs/>
          <w:sz w:val="20"/>
          <w:szCs w:val="20"/>
        </w:rPr>
        <w:t>Macromolecular Theory and Simulations</w:t>
      </w:r>
      <w:r w:rsidRPr="00DE4DC4">
        <w:rPr>
          <w:rFonts w:eastAsia="Times New Roman" w:cstheme="minorHAnsi"/>
          <w:sz w:val="20"/>
          <w:szCs w:val="20"/>
        </w:rPr>
        <w:t>. 31, 5, 2100075.</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McCarty, J. and Shell, M.S. 2016. Multiscale coarse, graining of polymers with machine learning. </w:t>
      </w:r>
      <w:r w:rsidRPr="00DE4DC4">
        <w:rPr>
          <w:rFonts w:eastAsia="Times New Roman" w:cstheme="minorHAnsi"/>
          <w:i/>
          <w:iCs/>
          <w:sz w:val="20"/>
          <w:szCs w:val="20"/>
        </w:rPr>
        <w:t>Journal of Chemical Physics</w:t>
      </w:r>
      <w:r w:rsidRPr="00DE4DC4">
        <w:rPr>
          <w:rFonts w:eastAsia="Times New Roman" w:cstheme="minorHAnsi"/>
          <w:sz w:val="20"/>
          <w:szCs w:val="20"/>
        </w:rPr>
        <w:t>. 145, 21, 214110.</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Mooij, J.M. et al. 2016. Distinguishing cause from effect using observational data: Methods and benchmarks. </w:t>
      </w:r>
      <w:r w:rsidRPr="00DE4DC4">
        <w:rPr>
          <w:rFonts w:eastAsia="Times New Roman" w:cstheme="minorHAnsi"/>
          <w:i/>
          <w:iCs/>
          <w:sz w:val="20"/>
          <w:szCs w:val="20"/>
        </w:rPr>
        <w:t>Journal of Machine Learning Research</w:t>
      </w:r>
      <w:r w:rsidRPr="00DE4DC4">
        <w:rPr>
          <w:rFonts w:eastAsia="Times New Roman" w:cstheme="minorHAnsi"/>
          <w:sz w:val="20"/>
          <w:szCs w:val="20"/>
        </w:rPr>
        <w:t>. 17, 1, 1103–1204.</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Morgan, D. and Jacobs, R. 2020. Opportunities and challenges for machine learning in materials science. </w:t>
      </w:r>
      <w:r w:rsidRPr="00DE4DC4">
        <w:rPr>
          <w:rFonts w:eastAsia="Times New Roman" w:cstheme="minorHAnsi"/>
          <w:i/>
          <w:iCs/>
          <w:sz w:val="20"/>
          <w:szCs w:val="20"/>
        </w:rPr>
        <w:t>Annual Review of Materials Research</w:t>
      </w:r>
      <w:r w:rsidRPr="00DE4DC4">
        <w:rPr>
          <w:rFonts w:eastAsia="Times New Roman" w:cstheme="minorHAnsi"/>
          <w:sz w:val="20"/>
          <w:szCs w:val="20"/>
        </w:rPr>
        <w:t>. 50, 71–103.</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Moriwaki, H. et al. 2018. Mordred: A molecular descriptor calculator. </w:t>
      </w:r>
      <w:r w:rsidRPr="00DE4DC4">
        <w:rPr>
          <w:rFonts w:eastAsia="Times New Roman" w:cstheme="minorHAnsi"/>
          <w:i/>
          <w:iCs/>
          <w:sz w:val="20"/>
          <w:szCs w:val="20"/>
        </w:rPr>
        <w:t>Journal of Cheminformatics</w:t>
      </w:r>
      <w:r w:rsidRPr="00DE4DC4">
        <w:rPr>
          <w:rFonts w:eastAsia="Times New Roman" w:cstheme="minorHAnsi"/>
          <w:sz w:val="20"/>
          <w:szCs w:val="20"/>
        </w:rPr>
        <w:t>. 10, 1, 4.</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Müller, Plathe, F. 2002. Coarse, graining in polymer simulation: From the atomistic to the mesoscopic scale and back. </w:t>
      </w:r>
      <w:r w:rsidRPr="00DE4DC4">
        <w:rPr>
          <w:rFonts w:eastAsia="Times New Roman" w:cstheme="minorHAnsi"/>
          <w:i/>
          <w:iCs/>
          <w:sz w:val="20"/>
          <w:szCs w:val="20"/>
        </w:rPr>
        <w:t>ChemPhysChem</w:t>
      </w:r>
      <w:r w:rsidRPr="00DE4DC4">
        <w:rPr>
          <w:rFonts w:eastAsia="Times New Roman" w:cstheme="minorHAnsi"/>
          <w:sz w:val="20"/>
          <w:szCs w:val="20"/>
        </w:rPr>
        <w:t>. 3, 9, 754–769.</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Musil, F. et al. 2021. Physics, inspired structural representations for molecules and materials. </w:t>
      </w:r>
      <w:r w:rsidRPr="00DE4DC4">
        <w:rPr>
          <w:rFonts w:eastAsia="Times New Roman" w:cstheme="minorHAnsi"/>
          <w:i/>
          <w:iCs/>
          <w:sz w:val="20"/>
          <w:szCs w:val="20"/>
        </w:rPr>
        <w:t>Chemical Reviews</w:t>
      </w:r>
      <w:r w:rsidRPr="00DE4DC4">
        <w:rPr>
          <w:rFonts w:eastAsia="Times New Roman" w:cstheme="minorHAnsi"/>
          <w:sz w:val="20"/>
          <w:szCs w:val="20"/>
        </w:rPr>
        <w:t>. 121, 16, 9759–9815.</w:t>
      </w:r>
    </w:p>
    <w:p w:rsidR="006A72F4" w:rsidRPr="00DE4DC4" w:rsidRDefault="006A72F4" w:rsidP="0011578A">
      <w:pPr>
        <w:pStyle w:val="ListParagraph"/>
        <w:numPr>
          <w:ilvl w:val="0"/>
          <w:numId w:val="50"/>
        </w:numPr>
        <w:spacing w:line="276" w:lineRule="auto"/>
        <w:ind w:hanging="720"/>
        <w:rPr>
          <w:rFonts w:eastAsia="Times New Roman" w:cstheme="minorHAnsi"/>
          <w:sz w:val="20"/>
          <w:szCs w:val="20"/>
        </w:rPr>
      </w:pPr>
      <w:r w:rsidRPr="00DE4DC4">
        <w:rPr>
          <w:rFonts w:eastAsia="Times New Roman" w:cstheme="minorHAnsi"/>
          <w:sz w:val="20"/>
          <w:szCs w:val="20"/>
        </w:rPr>
        <w:t>NanoPolyBase. n.d. </w:t>
      </w:r>
      <w:r w:rsidRPr="00DE4DC4">
        <w:rPr>
          <w:rFonts w:eastAsia="Times New Roman" w:cstheme="minorHAnsi"/>
          <w:i/>
          <w:iCs/>
          <w:sz w:val="20"/>
          <w:szCs w:val="20"/>
        </w:rPr>
        <w:t>Nanocomposite polymer database</w:t>
      </w:r>
      <w:r w:rsidRPr="00DE4DC4">
        <w:rPr>
          <w:rFonts w:eastAsia="Times New Roman" w:cstheme="minorHAnsi"/>
          <w:sz w:val="20"/>
          <w:szCs w:val="20"/>
        </w:rPr>
        <w:t>. Retrieved from  https://www.nanopolybase.eu</w:t>
      </w:r>
    </w:p>
    <w:p w:rsidR="006A72F4" w:rsidRPr="00DE4DC4" w:rsidRDefault="006A72F4" w:rsidP="0011578A">
      <w:pPr>
        <w:pStyle w:val="ListParagraph"/>
        <w:numPr>
          <w:ilvl w:val="0"/>
          <w:numId w:val="50"/>
        </w:numPr>
        <w:spacing w:after="0" w:line="276" w:lineRule="auto"/>
        <w:ind w:hanging="720"/>
        <w:rPr>
          <w:rFonts w:eastAsia="Times New Roman" w:cstheme="minorHAnsi"/>
          <w:sz w:val="20"/>
          <w:szCs w:val="20"/>
        </w:rPr>
      </w:pPr>
      <w:r w:rsidRPr="00DE4DC4">
        <w:rPr>
          <w:rFonts w:eastAsia="Times New Roman" w:cstheme="minorHAnsi"/>
          <w:sz w:val="20"/>
          <w:szCs w:val="20"/>
        </w:rPr>
        <w:t>NIST Polymer Data. n.d. </w:t>
      </w:r>
      <w:r w:rsidRPr="00DE4DC4">
        <w:rPr>
          <w:rFonts w:eastAsia="Times New Roman" w:cstheme="minorHAnsi"/>
          <w:i/>
          <w:iCs/>
          <w:sz w:val="20"/>
          <w:szCs w:val="20"/>
        </w:rPr>
        <w:t>Polymer property database</w:t>
      </w:r>
      <w:r w:rsidRPr="00DE4DC4">
        <w:rPr>
          <w:rFonts w:eastAsia="Times New Roman" w:cstheme="minorHAnsi"/>
          <w:sz w:val="20"/>
          <w:szCs w:val="20"/>
        </w:rPr>
        <w:t>. National Institute of Standards and Technology. Retrieved from  https://polymer.nist.gov</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NOMAD. n.d. </w:t>
      </w:r>
      <w:r w:rsidRPr="00DE4DC4">
        <w:rPr>
          <w:rFonts w:eastAsia="Times New Roman" w:cstheme="minorHAnsi"/>
          <w:i/>
          <w:iCs/>
          <w:sz w:val="20"/>
          <w:szCs w:val="20"/>
        </w:rPr>
        <w:t>The FAIR data archive for materials science</w:t>
      </w:r>
      <w:r w:rsidRPr="00DE4DC4">
        <w:rPr>
          <w:rFonts w:eastAsia="Times New Roman" w:cstheme="minorHAnsi"/>
          <w:sz w:val="20"/>
          <w:szCs w:val="20"/>
        </w:rPr>
        <w:t xml:space="preserve">. Retrieved from https://nomad, lab.eu </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O'Boyle, N.M. and Dalke, A. 2018. DeepSMILES: An adaptation of SMILES for use in machine, learning of chemical structures. </w:t>
      </w:r>
      <w:r w:rsidRPr="00DE4DC4">
        <w:rPr>
          <w:rFonts w:eastAsia="Times New Roman" w:cstheme="minorHAnsi"/>
          <w:i/>
          <w:iCs/>
          <w:sz w:val="20"/>
          <w:szCs w:val="20"/>
        </w:rPr>
        <w:t>Journal of Cheminformatics</w:t>
      </w:r>
      <w:r w:rsidRPr="00DE4DC4">
        <w:rPr>
          <w:rFonts w:eastAsia="Times New Roman" w:cstheme="minorHAnsi"/>
          <w:sz w:val="20"/>
          <w:szCs w:val="20"/>
        </w:rPr>
        <w:t>. 10, 1, 33.</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lastRenderedPageBreak/>
        <w:t>Olson, G.B. 1997. Computational design of hierarchically structured materials. </w:t>
      </w:r>
      <w:r w:rsidRPr="00DE4DC4">
        <w:rPr>
          <w:rFonts w:eastAsia="Times New Roman" w:cstheme="minorHAnsi"/>
          <w:i/>
          <w:iCs/>
          <w:sz w:val="20"/>
          <w:szCs w:val="20"/>
        </w:rPr>
        <w:t>Science</w:t>
      </w:r>
      <w:r w:rsidRPr="00DE4DC4">
        <w:rPr>
          <w:rFonts w:eastAsia="Times New Roman" w:cstheme="minorHAnsi"/>
          <w:sz w:val="20"/>
          <w:szCs w:val="20"/>
        </w:rPr>
        <w:t>. 277, 5330, 1237–1242.</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Patra, T.K. et al. 2020. A machine learning approach for the prediction of glass transition temperature of homopolymers. </w:t>
      </w:r>
      <w:r w:rsidRPr="00DE4DC4">
        <w:rPr>
          <w:rFonts w:eastAsia="Times New Roman" w:cstheme="minorHAnsi"/>
          <w:i/>
          <w:iCs/>
          <w:sz w:val="20"/>
          <w:szCs w:val="20"/>
        </w:rPr>
        <w:t>Journal of Chemical Information and Modeling</w:t>
      </w:r>
      <w:r w:rsidRPr="00DE4DC4">
        <w:rPr>
          <w:rFonts w:eastAsia="Times New Roman" w:cstheme="minorHAnsi"/>
          <w:sz w:val="20"/>
          <w:szCs w:val="20"/>
        </w:rPr>
        <w:t>. 60, 6, 2773–2785.</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Pearl, J. 2009. </w:t>
      </w:r>
      <w:r w:rsidRPr="00DE4DC4">
        <w:rPr>
          <w:rFonts w:eastAsia="Times New Roman" w:cstheme="minorHAnsi"/>
          <w:i/>
          <w:iCs/>
          <w:sz w:val="20"/>
          <w:szCs w:val="20"/>
        </w:rPr>
        <w:t>Causality: Models, Reasoning, and Inference</w:t>
      </w:r>
      <w:r w:rsidRPr="00DE4DC4">
        <w:rPr>
          <w:rFonts w:eastAsia="Times New Roman" w:cstheme="minorHAnsi"/>
          <w:sz w:val="20"/>
          <w:szCs w:val="20"/>
        </w:rPr>
        <w:t> (2nd ed.). Cambridge University Press.</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Perdikaris, P. et al. 2017. Nonlinear information fusion algorithms for data, efficient multi, fidelity modeling. </w:t>
      </w:r>
      <w:r w:rsidRPr="00DE4DC4">
        <w:rPr>
          <w:rFonts w:eastAsia="Times New Roman" w:cstheme="minorHAnsi"/>
          <w:i/>
          <w:iCs/>
          <w:sz w:val="20"/>
          <w:szCs w:val="20"/>
        </w:rPr>
        <w:t>Proceedings of the Royal Society A: Mathematical, Physical and Engineering Sciences</w:t>
      </w:r>
      <w:r w:rsidRPr="00DE4DC4">
        <w:rPr>
          <w:rFonts w:eastAsia="Times New Roman" w:cstheme="minorHAnsi"/>
          <w:sz w:val="20"/>
          <w:szCs w:val="20"/>
        </w:rPr>
        <w:t>. 473, 2198, 20160751.</w:t>
      </w:r>
    </w:p>
    <w:p w:rsidR="006A72F4" w:rsidRPr="00DE4DC4" w:rsidRDefault="006A72F4" w:rsidP="0011578A">
      <w:pPr>
        <w:numPr>
          <w:ilvl w:val="0"/>
          <w:numId w:val="50"/>
        </w:numPr>
        <w:shd w:val="clear" w:color="auto" w:fill="FFFFFF"/>
        <w:spacing w:after="0" w:line="276" w:lineRule="auto"/>
        <w:ind w:hanging="720"/>
        <w:rPr>
          <w:rFonts w:eastAsia="Times New Roman" w:cstheme="minorHAnsi"/>
          <w:sz w:val="20"/>
          <w:szCs w:val="20"/>
        </w:rPr>
      </w:pPr>
      <w:r w:rsidRPr="00DE4DC4">
        <w:rPr>
          <w:rFonts w:eastAsia="Times New Roman" w:cstheme="minorHAnsi"/>
          <w:sz w:val="20"/>
          <w:szCs w:val="20"/>
        </w:rPr>
        <w:t>PI1M. 2023. </w:t>
      </w:r>
      <w:r w:rsidRPr="00DE4DC4">
        <w:rPr>
          <w:rFonts w:eastAsia="Times New Roman" w:cstheme="minorHAnsi"/>
          <w:i/>
          <w:iCs/>
          <w:sz w:val="20"/>
          <w:szCs w:val="20"/>
        </w:rPr>
        <w:t>Large, scale polymer SMILES dataset for pre, training</w:t>
      </w:r>
      <w:r w:rsidRPr="00DE4DC4">
        <w:rPr>
          <w:rFonts w:eastAsia="Times New Roman" w:cstheme="minorHAnsi"/>
          <w:sz w:val="20"/>
          <w:szCs w:val="20"/>
        </w:rPr>
        <w:t>. Retrieved from  https://github.com/Ramprasad, Group/pi1m</w:t>
      </w:r>
    </w:p>
    <w:p w:rsidR="006A72F4" w:rsidRPr="00DE4DC4" w:rsidRDefault="006A72F4" w:rsidP="0011578A">
      <w:pPr>
        <w:numPr>
          <w:ilvl w:val="0"/>
          <w:numId w:val="50"/>
        </w:numPr>
        <w:shd w:val="clear" w:color="auto" w:fill="FFFFFF"/>
        <w:spacing w:after="0" w:line="276" w:lineRule="auto"/>
        <w:ind w:hanging="720"/>
        <w:rPr>
          <w:rFonts w:eastAsia="Times New Roman" w:cstheme="minorHAnsi"/>
          <w:sz w:val="20"/>
          <w:szCs w:val="20"/>
        </w:rPr>
      </w:pPr>
      <w:r w:rsidRPr="00DE4DC4">
        <w:rPr>
          <w:rFonts w:eastAsia="Times New Roman" w:cstheme="minorHAnsi"/>
          <w:sz w:val="20"/>
          <w:szCs w:val="20"/>
        </w:rPr>
        <w:t>Pilania, G. et al. 2013. Accelerating materials property predictions using machine learning. </w:t>
      </w:r>
      <w:r w:rsidRPr="00DE4DC4">
        <w:rPr>
          <w:rFonts w:eastAsia="Times New Roman" w:cstheme="minorHAnsi"/>
          <w:i/>
          <w:iCs/>
          <w:sz w:val="20"/>
          <w:szCs w:val="20"/>
        </w:rPr>
        <w:t>Scientific Reports</w:t>
      </w:r>
      <w:r w:rsidRPr="00DE4DC4">
        <w:rPr>
          <w:rFonts w:eastAsia="Times New Roman" w:cstheme="minorHAnsi"/>
          <w:sz w:val="20"/>
          <w:szCs w:val="20"/>
        </w:rPr>
        <w:t>. 3, 1, 2810.</w:t>
      </w:r>
    </w:p>
    <w:p w:rsidR="006A72F4" w:rsidRPr="00DE4DC4" w:rsidRDefault="006A72F4" w:rsidP="0011578A">
      <w:pPr>
        <w:numPr>
          <w:ilvl w:val="0"/>
          <w:numId w:val="50"/>
        </w:numPr>
        <w:shd w:val="clear" w:color="auto" w:fill="FFFFFF"/>
        <w:spacing w:after="0" w:line="276" w:lineRule="auto"/>
        <w:ind w:hanging="720"/>
        <w:rPr>
          <w:rFonts w:eastAsia="Times New Roman" w:cstheme="minorHAnsi"/>
          <w:sz w:val="20"/>
          <w:szCs w:val="20"/>
        </w:rPr>
      </w:pPr>
      <w:r w:rsidRPr="00DE4DC4">
        <w:rPr>
          <w:rFonts w:eastAsia="Times New Roman" w:cstheme="minorHAnsi"/>
          <w:sz w:val="20"/>
          <w:szCs w:val="20"/>
        </w:rPr>
        <w:t>POINT². 2024. </w:t>
      </w:r>
      <w:r w:rsidRPr="00DE4DC4">
        <w:rPr>
          <w:rFonts w:eastAsia="Times New Roman" w:cstheme="minorHAnsi"/>
          <w:i/>
          <w:iCs/>
          <w:sz w:val="20"/>
          <w:szCs w:val="20"/>
        </w:rPr>
        <w:t>Polymer informatics benchmark suite</w:t>
      </w:r>
      <w:r w:rsidRPr="00DE4DC4">
        <w:rPr>
          <w:rFonts w:eastAsia="Times New Roman" w:cstheme="minorHAnsi"/>
          <w:sz w:val="20"/>
          <w:szCs w:val="20"/>
        </w:rPr>
        <w:t>. Retrieved from  https://github.com/polymerinformatics/point2</w:t>
      </w:r>
    </w:p>
    <w:p w:rsidR="006A72F4" w:rsidRPr="00DE4DC4" w:rsidRDefault="006A72F4" w:rsidP="0011578A">
      <w:pPr>
        <w:numPr>
          <w:ilvl w:val="0"/>
          <w:numId w:val="50"/>
        </w:numPr>
        <w:shd w:val="clear" w:color="auto" w:fill="FFFFFF"/>
        <w:spacing w:after="0" w:line="276" w:lineRule="auto"/>
        <w:ind w:hanging="720"/>
        <w:rPr>
          <w:rFonts w:eastAsia="Times New Roman" w:cstheme="minorHAnsi"/>
          <w:sz w:val="20"/>
          <w:szCs w:val="20"/>
        </w:rPr>
      </w:pPr>
      <w:r w:rsidRPr="00DE4DC4">
        <w:rPr>
          <w:rFonts w:eastAsia="Times New Roman" w:cstheme="minorHAnsi"/>
          <w:sz w:val="20"/>
          <w:szCs w:val="20"/>
        </w:rPr>
        <w:t>PolyAskInG. 2023. </w:t>
      </w:r>
      <w:r w:rsidRPr="00DE4DC4">
        <w:rPr>
          <w:rFonts w:eastAsia="Times New Roman" w:cstheme="minorHAnsi"/>
          <w:i/>
          <w:iCs/>
          <w:sz w:val="20"/>
          <w:szCs w:val="20"/>
        </w:rPr>
        <w:t>QSPR, generated polymer library</w:t>
      </w:r>
      <w:r w:rsidRPr="00DE4DC4">
        <w:rPr>
          <w:rFonts w:eastAsia="Times New Roman" w:cstheme="minorHAnsi"/>
          <w:sz w:val="20"/>
          <w:szCs w:val="20"/>
        </w:rPr>
        <w:t>. Retrieved  from  https://github.com/polymerinformatics/polyasking</w:t>
      </w:r>
    </w:p>
    <w:p w:rsidR="006A72F4" w:rsidRPr="00DE4DC4" w:rsidRDefault="006A72F4" w:rsidP="0011578A">
      <w:pPr>
        <w:pStyle w:val="ListParagraph"/>
        <w:numPr>
          <w:ilvl w:val="0"/>
          <w:numId w:val="50"/>
        </w:numPr>
        <w:spacing w:line="276" w:lineRule="auto"/>
        <w:ind w:hanging="720"/>
        <w:rPr>
          <w:rFonts w:eastAsia="Times New Roman" w:cstheme="minorHAnsi"/>
          <w:sz w:val="20"/>
          <w:szCs w:val="20"/>
        </w:rPr>
      </w:pPr>
      <w:r w:rsidRPr="00DE4DC4">
        <w:rPr>
          <w:rFonts w:eastAsia="Times New Roman" w:cstheme="minorHAnsi"/>
          <w:sz w:val="20"/>
          <w:szCs w:val="20"/>
        </w:rPr>
        <w:t>PolyDAT. n.d. </w:t>
      </w:r>
      <w:r w:rsidRPr="00DE4DC4">
        <w:rPr>
          <w:rFonts w:eastAsia="Times New Roman" w:cstheme="minorHAnsi"/>
          <w:i/>
          <w:iCs/>
          <w:sz w:val="20"/>
          <w:szCs w:val="20"/>
        </w:rPr>
        <w:t>Polymer degradation and aging database</w:t>
      </w:r>
      <w:r w:rsidRPr="00DE4DC4">
        <w:rPr>
          <w:rFonts w:eastAsia="Times New Roman" w:cstheme="minorHAnsi"/>
          <w:sz w:val="20"/>
          <w:szCs w:val="20"/>
        </w:rPr>
        <w:t>. Retrieved from  https://www.polymerdata.org</w:t>
      </w:r>
    </w:p>
    <w:p w:rsidR="006A72F4" w:rsidRPr="00DE4DC4" w:rsidRDefault="006A72F4" w:rsidP="0011578A">
      <w:pPr>
        <w:numPr>
          <w:ilvl w:val="0"/>
          <w:numId w:val="50"/>
        </w:numPr>
        <w:shd w:val="clear" w:color="auto" w:fill="FFFFFF"/>
        <w:spacing w:after="0" w:line="276" w:lineRule="auto"/>
        <w:ind w:hanging="720"/>
        <w:rPr>
          <w:rFonts w:eastAsia="Times New Roman" w:cstheme="minorHAnsi"/>
          <w:sz w:val="20"/>
          <w:szCs w:val="20"/>
        </w:rPr>
      </w:pPr>
      <w:r w:rsidRPr="00DE4DC4">
        <w:rPr>
          <w:rFonts w:eastAsia="Times New Roman" w:cstheme="minorHAnsi"/>
          <w:sz w:val="20"/>
          <w:szCs w:val="20"/>
        </w:rPr>
        <w:t>PolyInfo. n.d. </w:t>
      </w:r>
      <w:r w:rsidRPr="00DE4DC4">
        <w:rPr>
          <w:rFonts w:eastAsia="Times New Roman" w:cstheme="minorHAnsi"/>
          <w:i/>
          <w:iCs/>
          <w:sz w:val="20"/>
          <w:szCs w:val="20"/>
        </w:rPr>
        <w:t>Polymer database</w:t>
      </w:r>
      <w:r w:rsidRPr="00DE4DC4">
        <w:rPr>
          <w:rFonts w:eastAsia="Times New Roman" w:cstheme="minorHAnsi"/>
          <w:sz w:val="20"/>
          <w:szCs w:val="20"/>
        </w:rPr>
        <w:t>. National Institute for Materials Science (NIMS), Japan. Retrieved from  https://polymer.nims.go.jp</w:t>
      </w:r>
    </w:p>
    <w:p w:rsidR="006A72F4" w:rsidRPr="00DE4DC4" w:rsidRDefault="006A72F4" w:rsidP="0011578A">
      <w:pPr>
        <w:numPr>
          <w:ilvl w:val="0"/>
          <w:numId w:val="50"/>
        </w:numPr>
        <w:shd w:val="clear" w:color="auto" w:fill="FFFFFF"/>
        <w:spacing w:after="0" w:line="276" w:lineRule="auto"/>
        <w:ind w:hanging="720"/>
        <w:rPr>
          <w:rFonts w:eastAsia="Times New Roman" w:cstheme="minorHAnsi"/>
          <w:sz w:val="20"/>
          <w:szCs w:val="20"/>
        </w:rPr>
      </w:pPr>
      <w:r w:rsidRPr="00DE4DC4">
        <w:rPr>
          <w:rFonts w:eastAsia="Times New Roman" w:cstheme="minorHAnsi"/>
          <w:sz w:val="20"/>
          <w:szCs w:val="20"/>
        </w:rPr>
        <w:t>Polymer Genome. n.d. </w:t>
      </w:r>
      <w:r w:rsidRPr="00DE4DC4">
        <w:rPr>
          <w:rFonts w:eastAsia="Times New Roman" w:cstheme="minorHAnsi"/>
          <w:i/>
          <w:iCs/>
          <w:sz w:val="20"/>
          <w:szCs w:val="20"/>
        </w:rPr>
        <w:t>Polymer informatics platform</w:t>
      </w:r>
      <w:r w:rsidRPr="00DE4DC4">
        <w:rPr>
          <w:rFonts w:eastAsia="Times New Roman" w:cstheme="minorHAnsi"/>
          <w:sz w:val="20"/>
          <w:szCs w:val="20"/>
        </w:rPr>
        <w:t xml:space="preserve">. University of California, San Diego. Retrieved from https://www.polymergenome.org </w:t>
      </w:r>
    </w:p>
    <w:p w:rsidR="006A72F4" w:rsidRPr="00DE4DC4" w:rsidRDefault="006A72F4" w:rsidP="0011578A">
      <w:pPr>
        <w:numPr>
          <w:ilvl w:val="0"/>
          <w:numId w:val="50"/>
        </w:numPr>
        <w:shd w:val="clear" w:color="auto" w:fill="FFFFFF"/>
        <w:spacing w:after="0" w:line="276" w:lineRule="auto"/>
        <w:ind w:hanging="720"/>
        <w:rPr>
          <w:rFonts w:eastAsia="Times New Roman" w:cstheme="minorHAnsi"/>
          <w:sz w:val="20"/>
          <w:szCs w:val="20"/>
        </w:rPr>
      </w:pPr>
      <w:r w:rsidRPr="00DE4DC4">
        <w:rPr>
          <w:rFonts w:eastAsia="Times New Roman" w:cstheme="minorHAnsi"/>
          <w:sz w:val="20"/>
          <w:szCs w:val="20"/>
        </w:rPr>
        <w:t>PolymerGym. 2024. </w:t>
      </w:r>
      <w:r w:rsidRPr="00DE4DC4">
        <w:rPr>
          <w:rFonts w:eastAsia="Times New Roman" w:cstheme="minorHAnsi"/>
          <w:i/>
          <w:iCs/>
          <w:sz w:val="20"/>
          <w:szCs w:val="20"/>
        </w:rPr>
        <w:t>Reinforcement learning environment for polymer design</w:t>
      </w:r>
      <w:r w:rsidRPr="00DE4DC4">
        <w:rPr>
          <w:rFonts w:eastAsia="Times New Roman" w:cstheme="minorHAnsi"/>
          <w:sz w:val="20"/>
          <w:szCs w:val="20"/>
        </w:rPr>
        <w:t>. Retrieved from  https://github.com/polymerinformatics/PolymerGym</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Queen, O., Batra, R., and Ramprasad, R. 2023. PolymerGNN: A graph neural network for polymer property prediction. </w:t>
      </w:r>
      <w:r w:rsidRPr="00DE4DC4">
        <w:rPr>
          <w:rFonts w:eastAsia="Times New Roman" w:cstheme="minorHAnsi"/>
          <w:i/>
          <w:iCs/>
          <w:sz w:val="20"/>
          <w:szCs w:val="20"/>
        </w:rPr>
        <w:t>Nature Communications</w:t>
      </w:r>
      <w:r w:rsidRPr="00DE4DC4">
        <w:rPr>
          <w:rFonts w:eastAsia="Times New Roman" w:cstheme="minorHAnsi"/>
          <w:sz w:val="20"/>
          <w:szCs w:val="20"/>
        </w:rPr>
        <w:t>. 14, 1, 1234.</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Raccuglia, P. et al. 2016. Machine, learning, assisted materials discovery using failed experiments. </w:t>
      </w:r>
      <w:r w:rsidRPr="00DE4DC4">
        <w:rPr>
          <w:rFonts w:eastAsia="Times New Roman" w:cstheme="minorHAnsi"/>
          <w:i/>
          <w:iCs/>
          <w:sz w:val="20"/>
          <w:szCs w:val="20"/>
        </w:rPr>
        <w:t>Nature</w:t>
      </w:r>
      <w:r w:rsidRPr="00DE4DC4">
        <w:rPr>
          <w:rFonts w:eastAsia="Times New Roman" w:cstheme="minorHAnsi"/>
          <w:sz w:val="20"/>
          <w:szCs w:val="20"/>
        </w:rPr>
        <w:t>. 533, 7601, 73–76.</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Raissi, M., Perdikaris, P., and Karniadakis, G.E. 2019. Physics, informed neural networks: A deep learning framework for solving forward and inverse problems involving nonlinear partial differential equations. </w:t>
      </w:r>
      <w:r w:rsidRPr="00DE4DC4">
        <w:rPr>
          <w:rFonts w:eastAsia="Times New Roman" w:cstheme="minorHAnsi"/>
          <w:i/>
          <w:iCs/>
          <w:sz w:val="20"/>
          <w:szCs w:val="20"/>
        </w:rPr>
        <w:t>Journal of Computational Physics</w:t>
      </w:r>
      <w:r w:rsidRPr="00DE4DC4">
        <w:rPr>
          <w:rFonts w:eastAsia="Times New Roman" w:cstheme="minorHAnsi"/>
          <w:sz w:val="20"/>
          <w:szCs w:val="20"/>
        </w:rPr>
        <w:t>. 378, 686–707.</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Ramprasad, R. et al. 2017. Machine learning in materials informatics: Recent applications and prospects. </w:t>
      </w:r>
      <w:r w:rsidRPr="00DE4DC4">
        <w:rPr>
          <w:rFonts w:eastAsia="Times New Roman" w:cstheme="minorHAnsi"/>
          <w:i/>
          <w:iCs/>
          <w:sz w:val="20"/>
          <w:szCs w:val="20"/>
        </w:rPr>
        <w:t>npj Computational Materials</w:t>
      </w:r>
      <w:r w:rsidRPr="00DE4DC4">
        <w:rPr>
          <w:rFonts w:eastAsia="Times New Roman" w:cstheme="minorHAnsi"/>
          <w:sz w:val="20"/>
          <w:szCs w:val="20"/>
        </w:rPr>
        <w:t>. 3, 1, 54.</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Ribeiro, M.T., Singh, S., and Guestrin, C. 2016. "Why should I trust you?": Explaining the predictions of any classifier. In </w:t>
      </w:r>
      <w:r w:rsidRPr="00DE4DC4">
        <w:rPr>
          <w:rFonts w:eastAsia="Times New Roman" w:cstheme="minorHAnsi"/>
          <w:i/>
          <w:iCs/>
          <w:sz w:val="20"/>
          <w:szCs w:val="20"/>
        </w:rPr>
        <w:t>Proceedings of the 22nd ACM SIGKDD International Conference on Knowledge Discovery and Data Mining (KDD '16)</w:t>
      </w:r>
      <w:r w:rsidRPr="00DE4DC4">
        <w:rPr>
          <w:rFonts w:eastAsia="Times New Roman" w:cstheme="minorHAnsi"/>
          <w:sz w:val="20"/>
          <w:szCs w:val="20"/>
        </w:rPr>
        <w:t>, 1135–1144.</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Riniker, S. and Landrum, G.A. 2013. Open, source platform to benchmark fingerprints for ligand, based virtual screening. </w:t>
      </w:r>
      <w:r w:rsidRPr="00DE4DC4">
        <w:rPr>
          <w:rFonts w:eastAsia="Times New Roman" w:cstheme="minorHAnsi"/>
          <w:i/>
          <w:iCs/>
          <w:sz w:val="20"/>
          <w:szCs w:val="20"/>
        </w:rPr>
        <w:t>Journal of Cheminformatics</w:t>
      </w:r>
      <w:r w:rsidRPr="00DE4DC4">
        <w:rPr>
          <w:rFonts w:eastAsia="Times New Roman" w:cstheme="minorHAnsi"/>
          <w:sz w:val="20"/>
          <w:szCs w:val="20"/>
        </w:rPr>
        <w:t>. 5, 1, 26.</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Rives, A. et al. 2021. Biological structure and function emerge from scaling unsupervised learning to 250 million protein sequences. </w:t>
      </w:r>
      <w:r w:rsidRPr="00DE4DC4">
        <w:rPr>
          <w:rFonts w:eastAsia="Times New Roman" w:cstheme="minorHAnsi"/>
          <w:i/>
          <w:iCs/>
          <w:sz w:val="20"/>
          <w:szCs w:val="20"/>
        </w:rPr>
        <w:t>Proceedings of the National Academy of Sciences</w:t>
      </w:r>
      <w:r w:rsidRPr="00DE4DC4">
        <w:rPr>
          <w:rFonts w:eastAsia="Times New Roman" w:cstheme="minorHAnsi"/>
          <w:sz w:val="20"/>
          <w:szCs w:val="20"/>
        </w:rPr>
        <w:t>. 118, 15, e2016239118.</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Rogers, D. and Hahn, M. 2010. Extended, connectivity fingerprints. </w:t>
      </w:r>
      <w:r w:rsidRPr="00DE4DC4">
        <w:rPr>
          <w:rFonts w:eastAsia="Times New Roman" w:cstheme="minorHAnsi"/>
          <w:i/>
          <w:iCs/>
          <w:sz w:val="20"/>
          <w:szCs w:val="20"/>
        </w:rPr>
        <w:t>Journal of Chemical Information and Modeling</w:t>
      </w:r>
      <w:r w:rsidRPr="00DE4DC4">
        <w:rPr>
          <w:rFonts w:eastAsia="Times New Roman" w:cstheme="minorHAnsi"/>
          <w:sz w:val="20"/>
          <w:szCs w:val="20"/>
        </w:rPr>
        <w:t>. 50, 5, 742–754.</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Ronneberger, O., Fischer, P., and Brox, T. 2015. U, Net: Convolutional networks for biomedical image segmentation. In *Medical Image Computing and Computer, Assisted Intervention (MICCAI 2015)*, 234–241.</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Rubinstein, M. and Colby, R.H. 2003. </w:t>
      </w:r>
      <w:r w:rsidRPr="00DE4DC4">
        <w:rPr>
          <w:rFonts w:eastAsia="Times New Roman" w:cstheme="minorHAnsi"/>
          <w:i/>
          <w:iCs/>
          <w:sz w:val="20"/>
          <w:szCs w:val="20"/>
        </w:rPr>
        <w:t>Polymer Physics</w:t>
      </w:r>
      <w:r w:rsidRPr="00DE4DC4">
        <w:rPr>
          <w:rFonts w:eastAsia="Times New Roman" w:cstheme="minorHAnsi"/>
          <w:sz w:val="20"/>
          <w:szCs w:val="20"/>
        </w:rPr>
        <w:t>. Oxford University Press.</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lastRenderedPageBreak/>
        <w:t>Saal, J.E. et al. 2013. Materials design and discovery with high, throughput density functional theory: The Open Quantum Materials Database (OQMD). </w:t>
      </w:r>
      <w:r w:rsidRPr="00DE4DC4">
        <w:rPr>
          <w:rFonts w:eastAsia="Times New Roman" w:cstheme="minorHAnsi"/>
          <w:i/>
          <w:iCs/>
          <w:sz w:val="20"/>
          <w:szCs w:val="20"/>
        </w:rPr>
        <w:t>JOM</w:t>
      </w:r>
      <w:r w:rsidRPr="00DE4DC4">
        <w:rPr>
          <w:rFonts w:eastAsia="Times New Roman" w:cstheme="minorHAnsi"/>
          <w:sz w:val="20"/>
          <w:szCs w:val="20"/>
        </w:rPr>
        <w:t>. 65, 11, 1501–1509.</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Sanchez, Lengeling, B. and Aspuru, Guzik, A. 2018. Inverse molecular design using machine learning: Generative models for matter engineering. </w:t>
      </w:r>
      <w:r w:rsidRPr="00DE4DC4">
        <w:rPr>
          <w:rFonts w:eastAsia="Times New Roman" w:cstheme="minorHAnsi"/>
          <w:i/>
          <w:iCs/>
          <w:sz w:val="20"/>
          <w:szCs w:val="20"/>
        </w:rPr>
        <w:t>Science</w:t>
      </w:r>
      <w:r w:rsidRPr="00DE4DC4">
        <w:rPr>
          <w:rFonts w:eastAsia="Times New Roman" w:cstheme="minorHAnsi"/>
          <w:sz w:val="20"/>
          <w:szCs w:val="20"/>
        </w:rPr>
        <w:t>. 361, 6400, 360–365.</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Samek, W. et al. 2021. Explaining deep neural networks and beyond: A review of methods and applications. </w:t>
      </w:r>
      <w:r w:rsidRPr="00DE4DC4">
        <w:rPr>
          <w:rFonts w:eastAsia="Times New Roman" w:cstheme="minorHAnsi"/>
          <w:i/>
          <w:iCs/>
          <w:sz w:val="20"/>
          <w:szCs w:val="20"/>
        </w:rPr>
        <w:t>Proceedings of the IEEE</w:t>
      </w:r>
      <w:r w:rsidRPr="00DE4DC4">
        <w:rPr>
          <w:rFonts w:eastAsia="Times New Roman" w:cstheme="minorHAnsi"/>
          <w:sz w:val="20"/>
          <w:szCs w:val="20"/>
        </w:rPr>
        <w:t>. 109, 3, 247–278.</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Schölkopf, B. et al. 2021. Toward causal representation learning. </w:t>
      </w:r>
      <w:r w:rsidRPr="00DE4DC4">
        <w:rPr>
          <w:rFonts w:eastAsia="Times New Roman" w:cstheme="minorHAnsi"/>
          <w:i/>
          <w:iCs/>
          <w:sz w:val="20"/>
          <w:szCs w:val="20"/>
        </w:rPr>
        <w:t>Proceedings of the IEEE</w:t>
      </w:r>
      <w:r w:rsidRPr="00DE4DC4">
        <w:rPr>
          <w:rFonts w:eastAsia="Times New Roman" w:cstheme="minorHAnsi"/>
          <w:sz w:val="20"/>
          <w:szCs w:val="20"/>
        </w:rPr>
        <w:t>. 109, 5, 612–634.</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Schütt, K.T. et al. 2018. SchNet – A deep learning architecture for molecules and materials. </w:t>
      </w:r>
      <w:r w:rsidRPr="00DE4DC4">
        <w:rPr>
          <w:rFonts w:eastAsia="Times New Roman" w:cstheme="minorHAnsi"/>
          <w:i/>
          <w:iCs/>
          <w:sz w:val="20"/>
          <w:szCs w:val="20"/>
        </w:rPr>
        <w:t>The Journal of Chemical Physics</w:t>
      </w:r>
      <w:r w:rsidRPr="00DE4DC4">
        <w:rPr>
          <w:rFonts w:eastAsia="Times New Roman" w:cstheme="minorHAnsi"/>
          <w:sz w:val="20"/>
          <w:szCs w:val="20"/>
        </w:rPr>
        <w:t>. 148, 24, 241722.</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Segler, M.H.S., Preuss, M., and Waller, M.P. 2018. Planning chemical syntheses with deep neural networks and symbolic AI. </w:t>
      </w:r>
      <w:r w:rsidRPr="00DE4DC4">
        <w:rPr>
          <w:rFonts w:eastAsia="Times New Roman" w:cstheme="minorHAnsi"/>
          <w:i/>
          <w:iCs/>
          <w:sz w:val="20"/>
          <w:szCs w:val="20"/>
        </w:rPr>
        <w:t>Nature</w:t>
      </w:r>
      <w:r w:rsidRPr="00DE4DC4">
        <w:rPr>
          <w:rFonts w:eastAsia="Times New Roman" w:cstheme="minorHAnsi"/>
          <w:sz w:val="20"/>
          <w:szCs w:val="20"/>
        </w:rPr>
        <w:t>. 555, 7698, 604–610.</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Shi, C. et al. 2020. GraphAF: A flow, based autoregressive model for molecular graph generation. In </w:t>
      </w:r>
      <w:r w:rsidRPr="00DE4DC4">
        <w:rPr>
          <w:rFonts w:eastAsia="Times New Roman" w:cstheme="minorHAnsi"/>
          <w:i/>
          <w:iCs/>
          <w:sz w:val="20"/>
          <w:szCs w:val="20"/>
        </w:rPr>
        <w:t>International Conference on Learning Representations (ICLR 2020)</w:t>
      </w:r>
      <w:r w:rsidRPr="00DE4DC4">
        <w:rPr>
          <w:rFonts w:eastAsia="Times New Roman" w:cstheme="minorHAnsi"/>
          <w:sz w:val="20"/>
          <w:szCs w:val="20"/>
        </w:rPr>
        <w:t>.</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Sterling, T. and Irwin, J.J. 2015. ZINC 15 – Ligand discovery for everyone. </w:t>
      </w:r>
      <w:r w:rsidRPr="00DE4DC4">
        <w:rPr>
          <w:rFonts w:eastAsia="Times New Roman" w:cstheme="minorHAnsi"/>
          <w:i/>
          <w:iCs/>
          <w:sz w:val="20"/>
          <w:szCs w:val="20"/>
        </w:rPr>
        <w:t>Journal of Chemical Information and Modeling</w:t>
      </w:r>
      <w:r w:rsidRPr="00DE4DC4">
        <w:rPr>
          <w:rFonts w:eastAsia="Times New Roman" w:cstheme="minorHAnsi"/>
          <w:sz w:val="20"/>
          <w:szCs w:val="20"/>
        </w:rPr>
        <w:t>. 55, 11, 2324–2337.</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St. John, P.C. et al. 2020. SchNet, based modeling of conjugated oligomers for electronic property prediction. </w:t>
      </w:r>
      <w:r w:rsidRPr="00DE4DC4">
        <w:rPr>
          <w:rFonts w:eastAsia="Times New Roman" w:cstheme="minorHAnsi"/>
          <w:i/>
          <w:iCs/>
          <w:sz w:val="20"/>
          <w:szCs w:val="20"/>
        </w:rPr>
        <w:t>The Journal of Chemical Physics</w:t>
      </w:r>
      <w:r w:rsidRPr="00DE4DC4">
        <w:rPr>
          <w:rFonts w:eastAsia="Times New Roman" w:cstheme="minorHAnsi"/>
          <w:sz w:val="20"/>
          <w:szCs w:val="20"/>
        </w:rPr>
        <w:t>. 152, 12, 124112.</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Stokes, J.M. et al. 2020. A deep learning approach to antibiotic discovery. </w:t>
      </w:r>
      <w:r w:rsidRPr="00DE4DC4">
        <w:rPr>
          <w:rFonts w:eastAsia="Times New Roman" w:cstheme="minorHAnsi"/>
          <w:i/>
          <w:iCs/>
          <w:sz w:val="20"/>
          <w:szCs w:val="20"/>
        </w:rPr>
        <w:t>Cell</w:t>
      </w:r>
      <w:r w:rsidRPr="00DE4DC4">
        <w:rPr>
          <w:rFonts w:eastAsia="Times New Roman" w:cstheme="minorHAnsi"/>
          <w:sz w:val="20"/>
          <w:szCs w:val="20"/>
        </w:rPr>
        <w:t>. 180, 4, 688–702.</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Sun, W., Zhao, Y., and Jin, Y. 2017. Modeling PVC polymerization kinetics using F, GMDH neural networks. </w:t>
      </w:r>
      <w:r w:rsidRPr="00DE4DC4">
        <w:rPr>
          <w:rFonts w:eastAsia="Times New Roman" w:cstheme="minorHAnsi"/>
          <w:i/>
          <w:iCs/>
          <w:sz w:val="20"/>
          <w:szCs w:val="20"/>
        </w:rPr>
        <w:t>Chemical Engineering Journal</w:t>
      </w:r>
      <w:r w:rsidRPr="00DE4DC4">
        <w:rPr>
          <w:rFonts w:eastAsia="Times New Roman" w:cstheme="minorHAnsi"/>
          <w:sz w:val="20"/>
          <w:szCs w:val="20"/>
        </w:rPr>
        <w:t>. 308, 890–899.</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Sutton, C., Batra, R., Chapman, J., and Ramprasad, R. 2020. A perspective on performance evaluation in polymer informatics. </w:t>
      </w:r>
      <w:r w:rsidRPr="00DE4DC4">
        <w:rPr>
          <w:rFonts w:eastAsia="Times New Roman" w:cstheme="minorHAnsi"/>
          <w:i/>
          <w:iCs/>
          <w:sz w:val="20"/>
          <w:szCs w:val="20"/>
        </w:rPr>
        <w:t>Digital Discovery</w:t>
      </w:r>
      <w:r w:rsidRPr="00DE4DC4">
        <w:rPr>
          <w:rFonts w:eastAsia="Times New Roman" w:cstheme="minorHAnsi"/>
          <w:sz w:val="20"/>
          <w:szCs w:val="20"/>
        </w:rPr>
        <w:t>. 1, 3, 360–377.</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Swain, M.C. and Cole, J.M. 2016. ChemDataExtractor: A toolkit for automated extraction of chemical information from the scientific literature. </w:t>
      </w:r>
      <w:r w:rsidRPr="00DE4DC4">
        <w:rPr>
          <w:rFonts w:eastAsia="Times New Roman" w:cstheme="minorHAnsi"/>
          <w:i/>
          <w:iCs/>
          <w:sz w:val="20"/>
          <w:szCs w:val="20"/>
        </w:rPr>
        <w:t>Journal of Chemical Information and Modeling</w:t>
      </w:r>
      <w:r w:rsidRPr="00DE4DC4">
        <w:rPr>
          <w:rFonts w:eastAsia="Times New Roman" w:cstheme="minorHAnsi"/>
          <w:sz w:val="20"/>
          <w:szCs w:val="20"/>
        </w:rPr>
        <w:t>. 56, 10, 1894–1904.</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Szymański, N.J. et al. 2023. An autonomous laboratory for the accelerated synthesis of novel materials. </w:t>
      </w:r>
      <w:r w:rsidRPr="00DE4DC4">
        <w:rPr>
          <w:rFonts w:eastAsia="Times New Roman" w:cstheme="minorHAnsi"/>
          <w:i/>
          <w:iCs/>
          <w:sz w:val="20"/>
          <w:szCs w:val="20"/>
        </w:rPr>
        <w:t>Nature</w:t>
      </w:r>
      <w:r w:rsidRPr="00DE4DC4">
        <w:rPr>
          <w:rFonts w:eastAsia="Times New Roman" w:cstheme="minorHAnsi"/>
          <w:sz w:val="20"/>
          <w:szCs w:val="20"/>
        </w:rPr>
        <w:t>. 618, 7966, 123–130.</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Tabor, D.P. et al. 2018. Accelerating the discovery of materials for clean energy in the era of smart automation. </w:t>
      </w:r>
      <w:r w:rsidRPr="00DE4DC4">
        <w:rPr>
          <w:rFonts w:eastAsia="Times New Roman" w:cstheme="minorHAnsi"/>
          <w:i/>
          <w:iCs/>
          <w:sz w:val="20"/>
          <w:szCs w:val="20"/>
        </w:rPr>
        <w:t>Nature Reviews Materials</w:t>
      </w:r>
      <w:r w:rsidRPr="00DE4DC4">
        <w:rPr>
          <w:rFonts w:eastAsia="Times New Roman" w:cstheme="minorHAnsi"/>
          <w:sz w:val="20"/>
          <w:szCs w:val="20"/>
        </w:rPr>
        <w:t>. 3, 5, 5–20.</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Thomas, N. et al. 2018. Tensor field networks: Rotation, and translation, equivariant neural networks for 3D point clouds. In </w:t>
      </w:r>
      <w:r w:rsidRPr="00DE4DC4">
        <w:rPr>
          <w:rFonts w:eastAsia="Times New Roman" w:cstheme="minorHAnsi"/>
          <w:i/>
          <w:iCs/>
          <w:sz w:val="20"/>
          <w:szCs w:val="20"/>
        </w:rPr>
        <w:t>Advances in Neural Information Processing Systems 31 (NeurIPS 2018)</w:t>
      </w:r>
      <w:r w:rsidRPr="00DE4DC4">
        <w:rPr>
          <w:rFonts w:eastAsia="Times New Roman" w:cstheme="minorHAnsi"/>
          <w:sz w:val="20"/>
          <w:szCs w:val="20"/>
        </w:rPr>
        <w:t>.</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Tran, K. and Ulissi, Z.W. 2020. Machine, learning predictions of materials properties: A review of recent progress. </w:t>
      </w:r>
      <w:r w:rsidRPr="00DE4DC4">
        <w:rPr>
          <w:rFonts w:eastAsia="Times New Roman" w:cstheme="minorHAnsi"/>
          <w:i/>
          <w:iCs/>
          <w:sz w:val="20"/>
          <w:szCs w:val="20"/>
        </w:rPr>
        <w:t>npj Computational Materials</w:t>
      </w:r>
      <w:r w:rsidRPr="00DE4DC4">
        <w:rPr>
          <w:rFonts w:eastAsia="Times New Roman" w:cstheme="minorHAnsi"/>
          <w:sz w:val="20"/>
          <w:szCs w:val="20"/>
        </w:rPr>
        <w:t>. 6, 1, 1–10.</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Vasudevan, R.K. et al. 2021. Materials data infrastructure: A case study of the Citrination platform. </w:t>
      </w:r>
      <w:r w:rsidRPr="00DE4DC4">
        <w:rPr>
          <w:rFonts w:eastAsia="Times New Roman" w:cstheme="minorHAnsi"/>
          <w:i/>
          <w:iCs/>
          <w:sz w:val="20"/>
          <w:szCs w:val="20"/>
        </w:rPr>
        <w:t>MRS Bulletin</w:t>
      </w:r>
      <w:r w:rsidRPr="00DE4DC4">
        <w:rPr>
          <w:rFonts w:eastAsia="Times New Roman" w:cstheme="minorHAnsi"/>
          <w:sz w:val="20"/>
          <w:szCs w:val="20"/>
        </w:rPr>
        <w:t>. 46, 7, 579–586.</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Vaswani, A. et al. 2017. Attention is all you need. In </w:t>
      </w:r>
      <w:r w:rsidRPr="00DE4DC4">
        <w:rPr>
          <w:rFonts w:eastAsia="Times New Roman" w:cstheme="minorHAnsi"/>
          <w:i/>
          <w:iCs/>
          <w:sz w:val="20"/>
          <w:szCs w:val="20"/>
        </w:rPr>
        <w:t>Advances in Neural Information Processing Systems 30 (NIPS 2017)</w:t>
      </w:r>
      <w:r w:rsidRPr="00DE4DC4">
        <w:rPr>
          <w:rFonts w:eastAsia="Times New Roman" w:cstheme="minorHAnsi"/>
          <w:sz w:val="20"/>
          <w:szCs w:val="20"/>
        </w:rPr>
        <w:t>.</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Veličković, P. et al. 2018. Graph attention networks. In </w:t>
      </w:r>
      <w:r w:rsidRPr="00DE4DC4">
        <w:rPr>
          <w:rFonts w:eastAsia="Times New Roman" w:cstheme="minorHAnsi"/>
          <w:i/>
          <w:iCs/>
          <w:sz w:val="20"/>
          <w:szCs w:val="20"/>
        </w:rPr>
        <w:t>International Conference on Learning Representations (ICLR 2018)</w:t>
      </w:r>
      <w:r w:rsidRPr="00DE4DC4">
        <w:rPr>
          <w:rFonts w:eastAsia="Times New Roman" w:cstheme="minorHAnsi"/>
          <w:sz w:val="20"/>
          <w:szCs w:val="20"/>
        </w:rPr>
        <w:t>.</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Vignac, C., Bresson, X., and Frossard, P. 2023. DiGress: Discrete denoising diffusion for graph generation. In </w:t>
      </w:r>
      <w:r w:rsidRPr="00DE4DC4">
        <w:rPr>
          <w:rFonts w:eastAsia="Times New Roman" w:cstheme="minorHAnsi"/>
          <w:i/>
          <w:iCs/>
          <w:sz w:val="20"/>
          <w:szCs w:val="20"/>
        </w:rPr>
        <w:t>International Conference on Learning Representations (ICLR 2023)</w:t>
      </w:r>
      <w:r w:rsidRPr="00DE4DC4">
        <w:rPr>
          <w:rFonts w:eastAsia="Times New Roman" w:cstheme="minorHAnsi"/>
          <w:sz w:val="20"/>
          <w:szCs w:val="20"/>
        </w:rPr>
        <w:t>.</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Wang, H., Perdikaris, P., and Karniadakis, G.E. 2020. Understanding and mitigating gradient pathologies in physics, informed neural networks. </w:t>
      </w:r>
      <w:r w:rsidRPr="00DE4DC4">
        <w:rPr>
          <w:rFonts w:eastAsia="Times New Roman" w:cstheme="minorHAnsi"/>
          <w:i/>
          <w:iCs/>
          <w:sz w:val="20"/>
          <w:szCs w:val="20"/>
        </w:rPr>
        <w:t>SIAM Journal on Scientific Computing</w:t>
      </w:r>
      <w:r w:rsidRPr="00DE4DC4">
        <w:rPr>
          <w:rFonts w:eastAsia="Times New Roman" w:cstheme="minorHAnsi"/>
          <w:sz w:val="20"/>
          <w:szCs w:val="20"/>
        </w:rPr>
        <w:t>. 42, 6, A3533–A3558.</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Weininger, D. 1988. SMILES, a chemical language and information system. </w:t>
      </w:r>
      <w:r w:rsidRPr="00DE4DC4">
        <w:rPr>
          <w:rFonts w:eastAsia="Times New Roman" w:cstheme="minorHAnsi"/>
          <w:i/>
          <w:iCs/>
          <w:sz w:val="20"/>
          <w:szCs w:val="20"/>
        </w:rPr>
        <w:t>Journal of Chemical Information and Modeling</w:t>
      </w:r>
      <w:r w:rsidRPr="00DE4DC4">
        <w:rPr>
          <w:rFonts w:eastAsia="Times New Roman" w:cstheme="minorHAnsi"/>
          <w:sz w:val="20"/>
          <w:szCs w:val="20"/>
        </w:rPr>
        <w:t>. 28, 1, 31–36.</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lastRenderedPageBreak/>
        <w:t>Wiesner, M.R. and Bottero, J., Y. 2017. </w:t>
      </w:r>
      <w:r w:rsidRPr="00DE4DC4">
        <w:rPr>
          <w:rFonts w:eastAsia="Times New Roman" w:cstheme="minorHAnsi"/>
          <w:i/>
          <w:iCs/>
          <w:sz w:val="20"/>
          <w:szCs w:val="20"/>
        </w:rPr>
        <w:t>Environmental Nanotechnology: Applications and Impacts of Nanomaterials</w:t>
      </w:r>
      <w:r w:rsidRPr="00DE4DC4">
        <w:rPr>
          <w:rFonts w:eastAsia="Times New Roman" w:cstheme="minorHAnsi"/>
          <w:sz w:val="20"/>
          <w:szCs w:val="20"/>
        </w:rPr>
        <w:t>. McGraw, Hill Education.</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Wu, S. et al. 2021. Machine learning, assisted design of polymer dielectrics with high energy density. </w:t>
      </w:r>
      <w:r w:rsidRPr="00DE4DC4">
        <w:rPr>
          <w:rFonts w:eastAsia="Times New Roman" w:cstheme="minorHAnsi"/>
          <w:i/>
          <w:iCs/>
          <w:sz w:val="20"/>
          <w:szCs w:val="20"/>
        </w:rPr>
        <w:t>Advanced Materials</w:t>
      </w:r>
      <w:r w:rsidRPr="00DE4DC4">
        <w:rPr>
          <w:rFonts w:eastAsia="Times New Roman" w:cstheme="minorHAnsi"/>
          <w:sz w:val="20"/>
          <w:szCs w:val="20"/>
        </w:rPr>
        <w:t>. 33, 34, 2100346.</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Wu, Z. et al. 2018. MoleculeNet: A benchmark for molecular machine learning. </w:t>
      </w:r>
      <w:r w:rsidRPr="00DE4DC4">
        <w:rPr>
          <w:rFonts w:eastAsia="Times New Roman" w:cstheme="minorHAnsi"/>
          <w:i/>
          <w:iCs/>
          <w:sz w:val="20"/>
          <w:szCs w:val="20"/>
        </w:rPr>
        <w:t>Chemical Science</w:t>
      </w:r>
      <w:r w:rsidRPr="00DE4DC4">
        <w:rPr>
          <w:rFonts w:eastAsia="Times New Roman" w:cstheme="minorHAnsi"/>
          <w:sz w:val="20"/>
          <w:szCs w:val="20"/>
        </w:rPr>
        <w:t>. 9, 2, 513–530.</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Xie, T. and Grossman, J.C. 2018. Crystal graph convolutional neural networks for an accurate and interpretable prediction of material properties. </w:t>
      </w:r>
      <w:r w:rsidRPr="00DE4DC4">
        <w:rPr>
          <w:rFonts w:eastAsia="Times New Roman" w:cstheme="minorHAnsi"/>
          <w:i/>
          <w:iCs/>
          <w:sz w:val="20"/>
          <w:szCs w:val="20"/>
        </w:rPr>
        <w:t>Physical Review Letters</w:t>
      </w:r>
      <w:r w:rsidRPr="00DE4DC4">
        <w:rPr>
          <w:rFonts w:eastAsia="Times New Roman" w:cstheme="minorHAnsi"/>
          <w:sz w:val="20"/>
          <w:szCs w:val="20"/>
        </w:rPr>
        <w:t>. 120, 14, 145301.</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Xin-Yao Xu, et al.  Data-efficient Machine Learning for Polymer Informatics, Journal: Chinese Journal of Polymer Science Volume: 43, Pages: 1707–1717 Published: September 2, 2025 DOI: 10.1007/s10118-025-3401-z</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Xu, K. et al. 2019. How powerful are graph neural networks? In </w:t>
      </w:r>
      <w:r w:rsidRPr="00DE4DC4">
        <w:rPr>
          <w:rFonts w:eastAsia="Times New Roman" w:cstheme="minorHAnsi"/>
          <w:i/>
          <w:iCs/>
          <w:sz w:val="20"/>
          <w:szCs w:val="20"/>
        </w:rPr>
        <w:t>International Conference on Learning Representations (ICLR 2019)</w:t>
      </w:r>
      <w:r w:rsidRPr="00DE4DC4">
        <w:rPr>
          <w:rFonts w:eastAsia="Times New Roman" w:cstheme="minorHAnsi"/>
          <w:sz w:val="20"/>
          <w:szCs w:val="20"/>
        </w:rPr>
        <w:t>.</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Xu, Y. et al. 2021. Polymer informatics: Current status and critical next steps. </w:t>
      </w:r>
      <w:r w:rsidRPr="00DE4DC4">
        <w:rPr>
          <w:rFonts w:eastAsia="Times New Roman" w:cstheme="minorHAnsi"/>
          <w:i/>
          <w:iCs/>
          <w:sz w:val="20"/>
          <w:szCs w:val="20"/>
        </w:rPr>
        <w:t>Macromolecular Rapid Communications</w:t>
      </w:r>
      <w:r w:rsidRPr="00DE4DC4">
        <w:rPr>
          <w:rFonts w:eastAsia="Times New Roman" w:cstheme="minorHAnsi"/>
          <w:sz w:val="20"/>
          <w:szCs w:val="20"/>
        </w:rPr>
        <w:t>. 42, 5, 2000571.</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Yamashita, T. et al. 2022. Machine learning for polymer design and discovery. </w:t>
      </w:r>
      <w:r w:rsidRPr="00DE4DC4">
        <w:rPr>
          <w:rFonts w:eastAsia="Times New Roman" w:cstheme="minorHAnsi"/>
          <w:i/>
          <w:iCs/>
          <w:sz w:val="20"/>
          <w:szCs w:val="20"/>
        </w:rPr>
        <w:t>Polymer Journal</w:t>
      </w:r>
      <w:r w:rsidRPr="00DE4DC4">
        <w:rPr>
          <w:rFonts w:eastAsia="Times New Roman" w:cstheme="minorHAnsi"/>
          <w:sz w:val="20"/>
          <w:szCs w:val="20"/>
        </w:rPr>
        <w:t>. 54, 1, 3–14.</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Yang, K. et al. 2021. Machine learning for polymer informatics: Current status and future directions. </w:t>
      </w:r>
      <w:r w:rsidRPr="00DE4DC4">
        <w:rPr>
          <w:rFonts w:eastAsia="Times New Roman" w:cstheme="minorHAnsi"/>
          <w:i/>
          <w:iCs/>
          <w:sz w:val="20"/>
          <w:szCs w:val="20"/>
        </w:rPr>
        <w:t>Macromolecules</w:t>
      </w:r>
      <w:r w:rsidRPr="00DE4DC4">
        <w:rPr>
          <w:rFonts w:eastAsia="Times New Roman" w:cstheme="minorHAnsi"/>
          <w:sz w:val="20"/>
          <w:szCs w:val="20"/>
        </w:rPr>
        <w:t>. 54, 9, 3961–3979.</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Yao, Y. et al. 2021. Autonomous polymer synthesis enabled by machine learning and robotics. </w:t>
      </w:r>
      <w:r w:rsidRPr="00DE4DC4">
        <w:rPr>
          <w:rFonts w:eastAsia="Times New Roman" w:cstheme="minorHAnsi"/>
          <w:i/>
          <w:iCs/>
          <w:sz w:val="20"/>
          <w:szCs w:val="20"/>
        </w:rPr>
        <w:t>Nature Machine Intelligence</w:t>
      </w:r>
      <w:r w:rsidRPr="00DE4DC4">
        <w:rPr>
          <w:rFonts w:eastAsia="Times New Roman" w:cstheme="minorHAnsi"/>
          <w:sz w:val="20"/>
          <w:szCs w:val="20"/>
        </w:rPr>
        <w:t>. 3, 2, 110–119.</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Ying, R. et al. 2019. GNNExplainer: Generating explanations for graph neural networks. In </w:t>
      </w:r>
      <w:r w:rsidRPr="00DE4DC4">
        <w:rPr>
          <w:rFonts w:eastAsia="Times New Roman" w:cstheme="minorHAnsi"/>
          <w:i/>
          <w:iCs/>
          <w:sz w:val="20"/>
          <w:szCs w:val="20"/>
        </w:rPr>
        <w:t>Advances in Neural Information Processing Systems 32 (NeurIPS 2019)</w:t>
      </w:r>
      <w:r w:rsidRPr="00DE4DC4">
        <w:rPr>
          <w:rFonts w:eastAsia="Times New Roman" w:cstheme="minorHAnsi"/>
          <w:sz w:val="20"/>
          <w:szCs w:val="20"/>
        </w:rPr>
        <w:t>.</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Yoon, J. et al. 2020. Machine learning and artificial intelligence for polymers: Past, present, and future. </w:t>
      </w:r>
      <w:r w:rsidRPr="00DE4DC4">
        <w:rPr>
          <w:rFonts w:eastAsia="Times New Roman" w:cstheme="minorHAnsi"/>
          <w:i/>
          <w:iCs/>
          <w:sz w:val="20"/>
          <w:szCs w:val="20"/>
        </w:rPr>
        <w:t>Macromolecular Research</w:t>
      </w:r>
      <w:r w:rsidRPr="00DE4DC4">
        <w:rPr>
          <w:rFonts w:eastAsia="Times New Roman" w:cstheme="minorHAnsi"/>
          <w:sz w:val="20"/>
          <w:szCs w:val="20"/>
        </w:rPr>
        <w:t>. 28, 5, 393–407.</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Zhang, L., Lin, H., and Wang, J. 2022. Hybrid physics–machine learning models for accelerated polymer simulation and design. </w:t>
      </w:r>
      <w:r w:rsidRPr="00DE4DC4">
        <w:rPr>
          <w:rFonts w:eastAsia="Times New Roman" w:cstheme="minorHAnsi"/>
          <w:i/>
          <w:iCs/>
          <w:sz w:val="20"/>
          <w:szCs w:val="20"/>
        </w:rPr>
        <w:t>npj Computational Materials</w:t>
      </w:r>
      <w:r w:rsidRPr="00DE4DC4">
        <w:rPr>
          <w:rFonts w:eastAsia="Times New Roman" w:cstheme="minorHAnsi"/>
          <w:sz w:val="20"/>
          <w:szCs w:val="20"/>
        </w:rPr>
        <w:t>. 8, 1, 45.</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Zhang, Q., Chen, S., and Liu, Y. 2020. Automated defect detection in polymer SEM images using convolutional neural networks. </w:t>
      </w:r>
      <w:r w:rsidRPr="00DE4DC4">
        <w:rPr>
          <w:rFonts w:eastAsia="Times New Roman" w:cstheme="minorHAnsi"/>
          <w:i/>
          <w:iCs/>
          <w:sz w:val="20"/>
          <w:szCs w:val="20"/>
        </w:rPr>
        <w:t>Polymer Testing</w:t>
      </w:r>
      <w:r w:rsidRPr="00DE4DC4">
        <w:rPr>
          <w:rFonts w:eastAsia="Times New Roman" w:cstheme="minorHAnsi"/>
          <w:sz w:val="20"/>
          <w:szCs w:val="20"/>
        </w:rPr>
        <w:t>. 85, 106438.</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Zhang, Y., Wang, H., and Coley, C.W. 2023. PolymerTransformer: A transformer, based model for polymer property prediction from sequence. </w:t>
      </w:r>
      <w:r w:rsidRPr="00DE4DC4">
        <w:rPr>
          <w:rFonts w:eastAsia="Times New Roman" w:cstheme="minorHAnsi"/>
          <w:i/>
          <w:iCs/>
          <w:sz w:val="20"/>
          <w:szCs w:val="20"/>
        </w:rPr>
        <w:t>Advanced Science</w:t>
      </w:r>
      <w:r w:rsidRPr="00DE4DC4">
        <w:rPr>
          <w:rFonts w:eastAsia="Times New Roman" w:cstheme="minorHAnsi"/>
          <w:sz w:val="20"/>
          <w:szCs w:val="20"/>
        </w:rPr>
        <w:t>. 10, 5, 2204567.</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Zhao, Q., Li, X., and Jiang, J. 2020. Machine learning for prediction of glass transition temperatures of polymers. </w:t>
      </w:r>
      <w:r w:rsidRPr="00DE4DC4">
        <w:rPr>
          <w:rFonts w:eastAsia="Times New Roman" w:cstheme="minorHAnsi"/>
          <w:i/>
          <w:iCs/>
          <w:sz w:val="20"/>
          <w:szCs w:val="20"/>
        </w:rPr>
        <w:t>Macromolecular Theory and Simulations</w:t>
      </w:r>
      <w:r w:rsidRPr="00DE4DC4">
        <w:rPr>
          <w:rFonts w:eastAsia="Times New Roman" w:cstheme="minorHAnsi"/>
          <w:sz w:val="20"/>
          <w:szCs w:val="20"/>
        </w:rPr>
        <w:t>. 29, 2, 1900064.</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Zheng, Z. et al. 2022. Deep learning for polymers: A benchmark study. </w:t>
      </w:r>
      <w:r w:rsidRPr="00DE4DC4">
        <w:rPr>
          <w:rFonts w:eastAsia="Times New Roman" w:cstheme="minorHAnsi"/>
          <w:i/>
          <w:iCs/>
          <w:sz w:val="20"/>
          <w:szCs w:val="20"/>
        </w:rPr>
        <w:t>Journal of Chemical Information and Modeling</w:t>
      </w:r>
      <w:r w:rsidRPr="00DE4DC4">
        <w:rPr>
          <w:rFonts w:eastAsia="Times New Roman" w:cstheme="minorHAnsi"/>
          <w:sz w:val="20"/>
          <w:szCs w:val="20"/>
        </w:rPr>
        <w:t>. 62, 3, 567–578.</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Zhong, M. et al. 2021. Machine learning for designing tough polymer networks. </w:t>
      </w:r>
      <w:r w:rsidRPr="00DE4DC4">
        <w:rPr>
          <w:rFonts w:eastAsia="Times New Roman" w:cstheme="minorHAnsi"/>
          <w:i/>
          <w:iCs/>
          <w:sz w:val="20"/>
          <w:szCs w:val="20"/>
        </w:rPr>
        <w:t>Macromolecules</w:t>
      </w:r>
      <w:r w:rsidRPr="00DE4DC4">
        <w:rPr>
          <w:rFonts w:eastAsia="Times New Roman" w:cstheme="minorHAnsi"/>
          <w:sz w:val="20"/>
          <w:szCs w:val="20"/>
        </w:rPr>
        <w:t>. 54, 7, 3025–3036.</w:t>
      </w:r>
    </w:p>
    <w:p w:rsidR="006A72F4" w:rsidRPr="00DE4DC4" w:rsidRDefault="006A72F4" w:rsidP="0011578A">
      <w:pPr>
        <w:numPr>
          <w:ilvl w:val="0"/>
          <w:numId w:val="50"/>
        </w:numPr>
        <w:shd w:val="clear" w:color="auto" w:fill="FFFFFF"/>
        <w:spacing w:after="0" w:line="276" w:lineRule="auto"/>
        <w:ind w:hanging="720"/>
        <w:jc w:val="both"/>
        <w:rPr>
          <w:rFonts w:eastAsia="Times New Roman" w:cstheme="minorHAnsi"/>
          <w:sz w:val="20"/>
          <w:szCs w:val="20"/>
        </w:rPr>
      </w:pPr>
      <w:r w:rsidRPr="00DE4DC4">
        <w:rPr>
          <w:rFonts w:eastAsia="Times New Roman" w:cstheme="minorHAnsi"/>
          <w:sz w:val="20"/>
          <w:szCs w:val="20"/>
        </w:rPr>
        <w:t>Zhou, J. et al. 2020. Graph neural networks: A review of methods and applications. </w:t>
      </w:r>
      <w:r w:rsidRPr="00DE4DC4">
        <w:rPr>
          <w:rFonts w:eastAsia="Times New Roman" w:cstheme="minorHAnsi"/>
          <w:i/>
          <w:iCs/>
          <w:sz w:val="20"/>
          <w:szCs w:val="20"/>
        </w:rPr>
        <w:t>AI Open</w:t>
      </w:r>
      <w:r w:rsidRPr="00DE4DC4">
        <w:rPr>
          <w:rFonts w:eastAsia="Times New Roman" w:cstheme="minorHAnsi"/>
          <w:sz w:val="20"/>
          <w:szCs w:val="20"/>
        </w:rPr>
        <w:t>. 1, 57–81.</w:t>
      </w:r>
    </w:p>
    <w:p w:rsidR="006A72F4" w:rsidRPr="00FC2725" w:rsidRDefault="006A72F4" w:rsidP="0011578A">
      <w:pPr>
        <w:pStyle w:val="ListParagraph"/>
        <w:numPr>
          <w:ilvl w:val="0"/>
          <w:numId w:val="50"/>
        </w:numPr>
        <w:shd w:val="clear" w:color="auto" w:fill="FFFFFF"/>
        <w:spacing w:after="0" w:line="276" w:lineRule="auto"/>
        <w:ind w:hanging="720"/>
        <w:rPr>
          <w:rFonts w:eastAsia="Times New Roman" w:cstheme="minorHAnsi"/>
          <w:sz w:val="20"/>
          <w:szCs w:val="20"/>
        </w:rPr>
      </w:pPr>
      <w:r w:rsidRPr="00DE4DC4">
        <w:rPr>
          <w:rFonts w:eastAsia="Times New Roman" w:cstheme="minorHAnsi"/>
          <w:sz w:val="20"/>
          <w:szCs w:val="20"/>
        </w:rPr>
        <w:t>Zou, X., Lin, T.-S., Zhang, W., &amp; Olsen, B. D. (2022). Extending BigSMILES to non-covalent bonds in supramolecular polymer assemblies. </w:t>
      </w:r>
      <w:r w:rsidRPr="00DE4DC4">
        <w:rPr>
          <w:rFonts w:eastAsia="Times New Roman" w:cstheme="minorHAnsi"/>
          <w:i/>
          <w:iCs/>
          <w:sz w:val="20"/>
          <w:szCs w:val="20"/>
        </w:rPr>
        <w:t>Chemical Science</w:t>
      </w:r>
      <w:r w:rsidRPr="00DE4DC4">
        <w:rPr>
          <w:rFonts w:eastAsia="Times New Roman" w:cstheme="minorHAnsi"/>
          <w:sz w:val="20"/>
          <w:szCs w:val="20"/>
        </w:rPr>
        <w:t>, </w:t>
      </w:r>
      <w:r w:rsidRPr="00DE4DC4">
        <w:rPr>
          <w:rFonts w:eastAsia="Times New Roman" w:cstheme="minorHAnsi"/>
          <w:i/>
          <w:iCs/>
          <w:sz w:val="20"/>
          <w:szCs w:val="20"/>
        </w:rPr>
        <w:t>13</w:t>
      </w:r>
      <w:r w:rsidRPr="00DE4DC4">
        <w:rPr>
          <w:rFonts w:eastAsia="Times New Roman" w:cstheme="minorHAnsi"/>
          <w:sz w:val="20"/>
          <w:szCs w:val="20"/>
        </w:rPr>
        <w:t>(27), 7935–7949. doi.org</w:t>
      </w:r>
    </w:p>
    <w:p w:rsidR="006A72F4" w:rsidRPr="006C7800" w:rsidRDefault="006A72F4" w:rsidP="006A72F4">
      <w:pPr>
        <w:spacing w:after="0" w:line="276" w:lineRule="auto"/>
        <w:jc w:val="both"/>
        <w:rPr>
          <w:rFonts w:cstheme="minorHAnsi"/>
          <w:sz w:val="20"/>
          <w:szCs w:val="20"/>
        </w:rPr>
      </w:pPr>
    </w:p>
    <w:sectPr w:rsidR="006A72F4" w:rsidRPr="006C78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F051B"/>
    <w:multiLevelType w:val="multilevel"/>
    <w:tmpl w:val="507AC1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4037ED"/>
    <w:multiLevelType w:val="multilevel"/>
    <w:tmpl w:val="96C22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04081A"/>
    <w:multiLevelType w:val="multilevel"/>
    <w:tmpl w:val="F6B87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83051B"/>
    <w:multiLevelType w:val="multilevel"/>
    <w:tmpl w:val="0360B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173343"/>
    <w:multiLevelType w:val="multilevel"/>
    <w:tmpl w:val="972AB2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09036A47"/>
    <w:multiLevelType w:val="multilevel"/>
    <w:tmpl w:val="E7A67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FE11E7"/>
    <w:multiLevelType w:val="multilevel"/>
    <w:tmpl w:val="F5EC0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6E21CA"/>
    <w:multiLevelType w:val="multilevel"/>
    <w:tmpl w:val="D73496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106D67A6"/>
    <w:multiLevelType w:val="multilevel"/>
    <w:tmpl w:val="2AA42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B5119C"/>
    <w:multiLevelType w:val="multilevel"/>
    <w:tmpl w:val="6732675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 w15:restartNumberingAfterBreak="0">
    <w:nsid w:val="155063DA"/>
    <w:multiLevelType w:val="multilevel"/>
    <w:tmpl w:val="BD40F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DB68C6"/>
    <w:multiLevelType w:val="multilevel"/>
    <w:tmpl w:val="9AC4B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BA23AD0"/>
    <w:multiLevelType w:val="multilevel"/>
    <w:tmpl w:val="EC90D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DE81640"/>
    <w:multiLevelType w:val="multilevel"/>
    <w:tmpl w:val="846CC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F5703BE"/>
    <w:multiLevelType w:val="multilevel"/>
    <w:tmpl w:val="94CCE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A33A5E"/>
    <w:multiLevelType w:val="hybridMultilevel"/>
    <w:tmpl w:val="ED987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C82D07"/>
    <w:multiLevelType w:val="multilevel"/>
    <w:tmpl w:val="3B209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3B3395D"/>
    <w:multiLevelType w:val="multilevel"/>
    <w:tmpl w:val="BFE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6AE13A6"/>
    <w:multiLevelType w:val="multilevel"/>
    <w:tmpl w:val="0E1A7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89B7747"/>
    <w:multiLevelType w:val="multilevel"/>
    <w:tmpl w:val="45F8C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4B408C"/>
    <w:multiLevelType w:val="multilevel"/>
    <w:tmpl w:val="0858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D195C37"/>
    <w:multiLevelType w:val="multilevel"/>
    <w:tmpl w:val="CC7AF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E0C4385"/>
    <w:multiLevelType w:val="multilevel"/>
    <w:tmpl w:val="0F14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0747D6A"/>
    <w:multiLevelType w:val="multilevel"/>
    <w:tmpl w:val="46A23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32832B7"/>
    <w:multiLevelType w:val="multilevel"/>
    <w:tmpl w:val="AE82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57C1383"/>
    <w:multiLevelType w:val="multilevel"/>
    <w:tmpl w:val="6700C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8D919FA"/>
    <w:multiLevelType w:val="multilevel"/>
    <w:tmpl w:val="98A68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161CDB"/>
    <w:multiLevelType w:val="multilevel"/>
    <w:tmpl w:val="68C48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B75262E"/>
    <w:multiLevelType w:val="multilevel"/>
    <w:tmpl w:val="EA486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D470879"/>
    <w:multiLevelType w:val="multilevel"/>
    <w:tmpl w:val="5D4CB4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0" w15:restartNumberingAfterBreak="0">
    <w:nsid w:val="3DDE1B71"/>
    <w:multiLevelType w:val="multilevel"/>
    <w:tmpl w:val="CDC6C7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1" w15:restartNumberingAfterBreak="0">
    <w:nsid w:val="41922DBF"/>
    <w:multiLevelType w:val="multilevel"/>
    <w:tmpl w:val="88AA8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24F1ADF"/>
    <w:multiLevelType w:val="multilevel"/>
    <w:tmpl w:val="2F428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6BF5E93"/>
    <w:multiLevelType w:val="multilevel"/>
    <w:tmpl w:val="7EC60F1A"/>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D1A17A2"/>
    <w:multiLevelType w:val="multilevel"/>
    <w:tmpl w:val="A196A3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5" w15:restartNumberingAfterBreak="0">
    <w:nsid w:val="4E501FFC"/>
    <w:multiLevelType w:val="multilevel"/>
    <w:tmpl w:val="98A0C39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F215EA8"/>
    <w:multiLevelType w:val="multilevel"/>
    <w:tmpl w:val="23D88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0481473"/>
    <w:multiLevelType w:val="multilevel"/>
    <w:tmpl w:val="7A48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404725F"/>
    <w:multiLevelType w:val="multilevel"/>
    <w:tmpl w:val="0BC03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5E33534"/>
    <w:multiLevelType w:val="multilevel"/>
    <w:tmpl w:val="9FFC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8B84728"/>
    <w:multiLevelType w:val="multilevel"/>
    <w:tmpl w:val="39B05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BA811F1"/>
    <w:multiLevelType w:val="multilevel"/>
    <w:tmpl w:val="0F489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D1B301A"/>
    <w:multiLevelType w:val="multilevel"/>
    <w:tmpl w:val="460CD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2AF2003"/>
    <w:multiLevelType w:val="multilevel"/>
    <w:tmpl w:val="A808B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2E53D61"/>
    <w:multiLevelType w:val="multilevel"/>
    <w:tmpl w:val="D1F68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3C373E6"/>
    <w:multiLevelType w:val="multilevel"/>
    <w:tmpl w:val="39EEC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4217F8D"/>
    <w:multiLevelType w:val="multilevel"/>
    <w:tmpl w:val="2CCAB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5874A5B"/>
    <w:multiLevelType w:val="multilevel"/>
    <w:tmpl w:val="A2E4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DBA4742"/>
    <w:multiLevelType w:val="multilevel"/>
    <w:tmpl w:val="F1865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6AC71B6"/>
    <w:multiLevelType w:val="multilevel"/>
    <w:tmpl w:val="2C984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2"/>
  </w:num>
  <w:num w:numId="2">
    <w:abstractNumId w:val="22"/>
  </w:num>
  <w:num w:numId="3">
    <w:abstractNumId w:val="33"/>
  </w:num>
  <w:num w:numId="4">
    <w:abstractNumId w:val="29"/>
  </w:num>
  <w:num w:numId="5">
    <w:abstractNumId w:val="10"/>
  </w:num>
  <w:num w:numId="6">
    <w:abstractNumId w:val="17"/>
  </w:num>
  <w:num w:numId="7">
    <w:abstractNumId w:val="27"/>
  </w:num>
  <w:num w:numId="8">
    <w:abstractNumId w:val="25"/>
  </w:num>
  <w:num w:numId="9">
    <w:abstractNumId w:val="38"/>
  </w:num>
  <w:num w:numId="10">
    <w:abstractNumId w:val="20"/>
  </w:num>
  <w:num w:numId="11">
    <w:abstractNumId w:val="6"/>
  </w:num>
  <w:num w:numId="12">
    <w:abstractNumId w:val="49"/>
  </w:num>
  <w:num w:numId="13">
    <w:abstractNumId w:val="13"/>
  </w:num>
  <w:num w:numId="14">
    <w:abstractNumId w:val="23"/>
  </w:num>
  <w:num w:numId="15">
    <w:abstractNumId w:val="7"/>
  </w:num>
  <w:num w:numId="16">
    <w:abstractNumId w:val="12"/>
  </w:num>
  <w:num w:numId="17">
    <w:abstractNumId w:val="40"/>
  </w:num>
  <w:num w:numId="18">
    <w:abstractNumId w:val="18"/>
  </w:num>
  <w:num w:numId="19">
    <w:abstractNumId w:val="0"/>
  </w:num>
  <w:num w:numId="20">
    <w:abstractNumId w:val="45"/>
  </w:num>
  <w:num w:numId="21">
    <w:abstractNumId w:val="2"/>
  </w:num>
  <w:num w:numId="22">
    <w:abstractNumId w:val="43"/>
  </w:num>
  <w:num w:numId="23">
    <w:abstractNumId w:val="21"/>
  </w:num>
  <w:num w:numId="24">
    <w:abstractNumId w:val="16"/>
  </w:num>
  <w:num w:numId="25">
    <w:abstractNumId w:val="9"/>
  </w:num>
  <w:num w:numId="26">
    <w:abstractNumId w:val="24"/>
  </w:num>
  <w:num w:numId="27">
    <w:abstractNumId w:val="28"/>
  </w:num>
  <w:num w:numId="28">
    <w:abstractNumId w:val="34"/>
  </w:num>
  <w:num w:numId="29">
    <w:abstractNumId w:val="4"/>
  </w:num>
  <w:num w:numId="30">
    <w:abstractNumId w:val="1"/>
  </w:num>
  <w:num w:numId="31">
    <w:abstractNumId w:val="39"/>
  </w:num>
  <w:num w:numId="32">
    <w:abstractNumId w:val="11"/>
  </w:num>
  <w:num w:numId="33">
    <w:abstractNumId w:val="3"/>
  </w:num>
  <w:num w:numId="34">
    <w:abstractNumId w:val="30"/>
  </w:num>
  <w:num w:numId="35">
    <w:abstractNumId w:val="8"/>
  </w:num>
  <w:num w:numId="36">
    <w:abstractNumId w:val="48"/>
  </w:num>
  <w:num w:numId="37">
    <w:abstractNumId w:val="41"/>
  </w:num>
  <w:num w:numId="38">
    <w:abstractNumId w:val="37"/>
  </w:num>
  <w:num w:numId="39">
    <w:abstractNumId w:val="42"/>
  </w:num>
  <w:num w:numId="40">
    <w:abstractNumId w:val="31"/>
  </w:num>
  <w:num w:numId="41">
    <w:abstractNumId w:val="26"/>
  </w:num>
  <w:num w:numId="42">
    <w:abstractNumId w:val="47"/>
  </w:num>
  <w:num w:numId="43">
    <w:abstractNumId w:val="19"/>
  </w:num>
  <w:num w:numId="44">
    <w:abstractNumId w:val="44"/>
  </w:num>
  <w:num w:numId="45">
    <w:abstractNumId w:val="5"/>
  </w:num>
  <w:num w:numId="46">
    <w:abstractNumId w:val="36"/>
  </w:num>
  <w:num w:numId="47">
    <w:abstractNumId w:val="35"/>
  </w:num>
  <w:num w:numId="48">
    <w:abstractNumId w:val="14"/>
  </w:num>
  <w:num w:numId="49">
    <w:abstractNumId w:val="15"/>
  </w:num>
  <w:num w:numId="50">
    <w:abstractNumId w:val="4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132"/>
    <w:rsid w:val="00071113"/>
    <w:rsid w:val="0011578A"/>
    <w:rsid w:val="00126087"/>
    <w:rsid w:val="00127F94"/>
    <w:rsid w:val="001B3744"/>
    <w:rsid w:val="00211AD0"/>
    <w:rsid w:val="002A0768"/>
    <w:rsid w:val="002C0810"/>
    <w:rsid w:val="002C665D"/>
    <w:rsid w:val="00367005"/>
    <w:rsid w:val="003C172F"/>
    <w:rsid w:val="00430310"/>
    <w:rsid w:val="00443582"/>
    <w:rsid w:val="00491B75"/>
    <w:rsid w:val="004C1A55"/>
    <w:rsid w:val="004C577B"/>
    <w:rsid w:val="004C7EFD"/>
    <w:rsid w:val="004D0E2F"/>
    <w:rsid w:val="004F0EBA"/>
    <w:rsid w:val="005551BF"/>
    <w:rsid w:val="005562ED"/>
    <w:rsid w:val="00595D3E"/>
    <w:rsid w:val="005C5C70"/>
    <w:rsid w:val="006453BD"/>
    <w:rsid w:val="006A72F4"/>
    <w:rsid w:val="006B02C8"/>
    <w:rsid w:val="006C7800"/>
    <w:rsid w:val="006E152E"/>
    <w:rsid w:val="006F2DD6"/>
    <w:rsid w:val="00753CEC"/>
    <w:rsid w:val="00897132"/>
    <w:rsid w:val="00921142"/>
    <w:rsid w:val="00955C75"/>
    <w:rsid w:val="00A3689A"/>
    <w:rsid w:val="00A50D85"/>
    <w:rsid w:val="00A67B5C"/>
    <w:rsid w:val="00B53A5A"/>
    <w:rsid w:val="00B85B57"/>
    <w:rsid w:val="00B90324"/>
    <w:rsid w:val="00BD4F0E"/>
    <w:rsid w:val="00C57922"/>
    <w:rsid w:val="00C717C2"/>
    <w:rsid w:val="00CC0608"/>
    <w:rsid w:val="00D31058"/>
    <w:rsid w:val="00D408C9"/>
    <w:rsid w:val="00D61E0E"/>
    <w:rsid w:val="00DD345B"/>
    <w:rsid w:val="00EE7A9B"/>
    <w:rsid w:val="00F02B89"/>
    <w:rsid w:val="00F8360F"/>
    <w:rsid w:val="00F930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CF822"/>
  <w15:chartTrackingRefBased/>
  <w15:docId w15:val="{1C04C4A4-2200-4421-95AD-D77DCB841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6">
    <w:name w:val="heading 6"/>
    <w:basedOn w:val="Normal"/>
    <w:link w:val="Heading6Char"/>
    <w:uiPriority w:val="9"/>
    <w:qFormat/>
    <w:rsid w:val="006C7800"/>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6C7800"/>
    <w:rPr>
      <w:rFonts w:ascii="Times New Roman" w:eastAsia="Times New Roman" w:hAnsi="Times New Roman" w:cs="Times New Roman"/>
      <w:b/>
      <w:bCs/>
      <w:sz w:val="15"/>
      <w:szCs w:val="15"/>
    </w:rPr>
  </w:style>
  <w:style w:type="paragraph" w:styleId="NormalWeb">
    <w:name w:val="Normal (Web)"/>
    <w:basedOn w:val="Normal"/>
    <w:uiPriority w:val="99"/>
    <w:unhideWhenUsed/>
    <w:rsid w:val="006C7800"/>
    <w:pPr>
      <w:spacing w:before="100" w:beforeAutospacing="1" w:after="100" w:afterAutospacing="1" w:line="240" w:lineRule="auto"/>
    </w:pPr>
    <w:rPr>
      <w:rFonts w:ascii="Times New Roman" w:eastAsia="Times New Roman" w:hAnsi="Times New Roman" w:cs="Times New Roman"/>
      <w:sz w:val="24"/>
      <w:szCs w:val="24"/>
    </w:rPr>
  </w:style>
  <w:style w:type="table" w:styleId="PlainTable1">
    <w:name w:val="Plain Table 1"/>
    <w:basedOn w:val="TableNormal"/>
    <w:uiPriority w:val="41"/>
    <w:rsid w:val="00D61E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6F2DD6"/>
    <w:pPr>
      <w:ind w:left="720"/>
      <w:contextualSpacing/>
    </w:pPr>
  </w:style>
  <w:style w:type="character" w:styleId="Strong">
    <w:name w:val="Strong"/>
    <w:basedOn w:val="DefaultParagraphFont"/>
    <w:uiPriority w:val="22"/>
    <w:qFormat/>
    <w:rsid w:val="00C717C2"/>
    <w:rPr>
      <w:b/>
      <w:bCs/>
    </w:rPr>
  </w:style>
  <w:style w:type="character" w:customStyle="1" w:styleId="ds-markdown-html">
    <w:name w:val="ds-markdown-html"/>
    <w:basedOn w:val="DefaultParagraphFont"/>
    <w:rsid w:val="00C717C2"/>
  </w:style>
  <w:style w:type="character" w:styleId="Hyperlink">
    <w:name w:val="Hyperlink"/>
    <w:basedOn w:val="DefaultParagraphFont"/>
    <w:uiPriority w:val="99"/>
    <w:semiHidden/>
    <w:unhideWhenUsed/>
    <w:rsid w:val="006A72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84024">
      <w:bodyDiv w:val="1"/>
      <w:marLeft w:val="0"/>
      <w:marRight w:val="0"/>
      <w:marTop w:val="0"/>
      <w:marBottom w:val="0"/>
      <w:divBdr>
        <w:top w:val="none" w:sz="0" w:space="0" w:color="auto"/>
        <w:left w:val="none" w:sz="0" w:space="0" w:color="auto"/>
        <w:bottom w:val="none" w:sz="0" w:space="0" w:color="auto"/>
        <w:right w:val="none" w:sz="0" w:space="0" w:color="auto"/>
      </w:divBdr>
      <w:divsChild>
        <w:div w:id="742721685">
          <w:marLeft w:val="0"/>
          <w:marRight w:val="0"/>
          <w:marTop w:val="0"/>
          <w:marBottom w:val="0"/>
          <w:divBdr>
            <w:top w:val="single" w:sz="2" w:space="0" w:color="4E4E4E"/>
            <w:left w:val="single" w:sz="2" w:space="0" w:color="4E4E4E"/>
            <w:bottom w:val="single" w:sz="2" w:space="0" w:color="4E4E4E"/>
            <w:right w:val="single" w:sz="2" w:space="0" w:color="4E4E4E"/>
          </w:divBdr>
        </w:div>
        <w:div w:id="1382365938">
          <w:marLeft w:val="0"/>
          <w:marRight w:val="0"/>
          <w:marTop w:val="0"/>
          <w:marBottom w:val="0"/>
          <w:divBdr>
            <w:top w:val="single" w:sz="2" w:space="0" w:color="4E4E4E"/>
            <w:left w:val="single" w:sz="2" w:space="0" w:color="4E4E4E"/>
            <w:bottom w:val="single" w:sz="2" w:space="0" w:color="4E4E4E"/>
            <w:right w:val="single" w:sz="2" w:space="0" w:color="4E4E4E"/>
          </w:divBdr>
        </w:div>
        <w:div w:id="1833060915">
          <w:marLeft w:val="0"/>
          <w:marRight w:val="0"/>
          <w:marTop w:val="0"/>
          <w:marBottom w:val="0"/>
          <w:divBdr>
            <w:top w:val="single" w:sz="2" w:space="0" w:color="4E4E4E"/>
            <w:left w:val="single" w:sz="2" w:space="0" w:color="4E4E4E"/>
            <w:bottom w:val="single" w:sz="2" w:space="0" w:color="4E4E4E"/>
            <w:right w:val="single" w:sz="2" w:space="0" w:color="4E4E4E"/>
          </w:divBdr>
        </w:div>
      </w:divsChild>
    </w:div>
    <w:div w:id="266278789">
      <w:bodyDiv w:val="1"/>
      <w:marLeft w:val="0"/>
      <w:marRight w:val="0"/>
      <w:marTop w:val="0"/>
      <w:marBottom w:val="0"/>
      <w:divBdr>
        <w:top w:val="none" w:sz="0" w:space="0" w:color="auto"/>
        <w:left w:val="none" w:sz="0" w:space="0" w:color="auto"/>
        <w:bottom w:val="none" w:sz="0" w:space="0" w:color="auto"/>
        <w:right w:val="none" w:sz="0" w:space="0" w:color="auto"/>
      </w:divBdr>
      <w:divsChild>
        <w:div w:id="237595048">
          <w:marLeft w:val="0"/>
          <w:marRight w:val="0"/>
          <w:marTop w:val="0"/>
          <w:marBottom w:val="0"/>
          <w:divBdr>
            <w:top w:val="single" w:sz="2" w:space="0" w:color="4E4E4E"/>
            <w:left w:val="single" w:sz="2" w:space="0" w:color="4E4E4E"/>
            <w:bottom w:val="single" w:sz="2" w:space="0" w:color="4E4E4E"/>
            <w:right w:val="single" w:sz="2" w:space="0" w:color="4E4E4E"/>
          </w:divBdr>
        </w:div>
        <w:div w:id="141386402">
          <w:marLeft w:val="0"/>
          <w:marRight w:val="0"/>
          <w:marTop w:val="0"/>
          <w:marBottom w:val="0"/>
          <w:divBdr>
            <w:top w:val="single" w:sz="2" w:space="0" w:color="4E4E4E"/>
            <w:left w:val="single" w:sz="2" w:space="0" w:color="4E4E4E"/>
            <w:bottom w:val="single" w:sz="2" w:space="0" w:color="4E4E4E"/>
            <w:right w:val="single" w:sz="2" w:space="0" w:color="4E4E4E"/>
          </w:divBdr>
        </w:div>
      </w:divsChild>
    </w:div>
    <w:div w:id="463430559">
      <w:bodyDiv w:val="1"/>
      <w:marLeft w:val="0"/>
      <w:marRight w:val="0"/>
      <w:marTop w:val="0"/>
      <w:marBottom w:val="0"/>
      <w:divBdr>
        <w:top w:val="none" w:sz="0" w:space="0" w:color="auto"/>
        <w:left w:val="none" w:sz="0" w:space="0" w:color="auto"/>
        <w:bottom w:val="none" w:sz="0" w:space="0" w:color="auto"/>
        <w:right w:val="none" w:sz="0" w:space="0" w:color="auto"/>
      </w:divBdr>
      <w:divsChild>
        <w:div w:id="1662586134">
          <w:marLeft w:val="0"/>
          <w:marRight w:val="0"/>
          <w:marTop w:val="0"/>
          <w:marBottom w:val="0"/>
          <w:divBdr>
            <w:top w:val="none" w:sz="0" w:space="0" w:color="auto"/>
            <w:left w:val="none" w:sz="0" w:space="0" w:color="auto"/>
            <w:bottom w:val="none" w:sz="0" w:space="0" w:color="auto"/>
            <w:right w:val="none" w:sz="0" w:space="0" w:color="auto"/>
          </w:divBdr>
          <w:divsChild>
            <w:div w:id="37377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720201">
      <w:bodyDiv w:val="1"/>
      <w:marLeft w:val="0"/>
      <w:marRight w:val="0"/>
      <w:marTop w:val="0"/>
      <w:marBottom w:val="0"/>
      <w:divBdr>
        <w:top w:val="none" w:sz="0" w:space="0" w:color="auto"/>
        <w:left w:val="none" w:sz="0" w:space="0" w:color="auto"/>
        <w:bottom w:val="none" w:sz="0" w:space="0" w:color="auto"/>
        <w:right w:val="none" w:sz="0" w:space="0" w:color="auto"/>
      </w:divBdr>
      <w:divsChild>
        <w:div w:id="695935118">
          <w:marLeft w:val="0"/>
          <w:marRight w:val="0"/>
          <w:marTop w:val="0"/>
          <w:marBottom w:val="0"/>
          <w:divBdr>
            <w:top w:val="single" w:sz="2" w:space="0" w:color="4E4E4E"/>
            <w:left w:val="single" w:sz="2" w:space="0" w:color="4E4E4E"/>
            <w:bottom w:val="single" w:sz="2" w:space="0" w:color="4E4E4E"/>
            <w:right w:val="single" w:sz="2" w:space="0" w:color="4E4E4E"/>
          </w:divBdr>
        </w:div>
        <w:div w:id="2114205007">
          <w:marLeft w:val="0"/>
          <w:marRight w:val="0"/>
          <w:marTop w:val="0"/>
          <w:marBottom w:val="0"/>
          <w:divBdr>
            <w:top w:val="single" w:sz="2" w:space="0" w:color="4E4E4E"/>
            <w:left w:val="single" w:sz="2" w:space="0" w:color="4E4E4E"/>
            <w:bottom w:val="single" w:sz="2" w:space="0" w:color="4E4E4E"/>
            <w:right w:val="single" w:sz="2" w:space="0" w:color="4E4E4E"/>
          </w:divBdr>
        </w:div>
      </w:divsChild>
    </w:div>
    <w:div w:id="892078409">
      <w:bodyDiv w:val="1"/>
      <w:marLeft w:val="0"/>
      <w:marRight w:val="0"/>
      <w:marTop w:val="0"/>
      <w:marBottom w:val="0"/>
      <w:divBdr>
        <w:top w:val="none" w:sz="0" w:space="0" w:color="auto"/>
        <w:left w:val="none" w:sz="0" w:space="0" w:color="auto"/>
        <w:bottom w:val="none" w:sz="0" w:space="0" w:color="auto"/>
        <w:right w:val="none" w:sz="0" w:space="0" w:color="auto"/>
      </w:divBdr>
    </w:div>
    <w:div w:id="893545917">
      <w:bodyDiv w:val="1"/>
      <w:marLeft w:val="0"/>
      <w:marRight w:val="0"/>
      <w:marTop w:val="0"/>
      <w:marBottom w:val="0"/>
      <w:divBdr>
        <w:top w:val="none" w:sz="0" w:space="0" w:color="auto"/>
        <w:left w:val="none" w:sz="0" w:space="0" w:color="auto"/>
        <w:bottom w:val="none" w:sz="0" w:space="0" w:color="auto"/>
        <w:right w:val="none" w:sz="0" w:space="0" w:color="auto"/>
      </w:divBdr>
      <w:divsChild>
        <w:div w:id="1928659641">
          <w:marLeft w:val="0"/>
          <w:marRight w:val="0"/>
          <w:marTop w:val="0"/>
          <w:marBottom w:val="0"/>
          <w:divBdr>
            <w:top w:val="single" w:sz="2" w:space="0" w:color="4E4E4E"/>
            <w:left w:val="single" w:sz="2" w:space="0" w:color="4E4E4E"/>
            <w:bottom w:val="single" w:sz="2" w:space="0" w:color="4E4E4E"/>
            <w:right w:val="single" w:sz="2" w:space="0" w:color="4E4E4E"/>
          </w:divBdr>
        </w:div>
        <w:div w:id="2123764642">
          <w:marLeft w:val="0"/>
          <w:marRight w:val="0"/>
          <w:marTop w:val="0"/>
          <w:marBottom w:val="0"/>
          <w:divBdr>
            <w:top w:val="single" w:sz="2" w:space="0" w:color="4E4E4E"/>
            <w:left w:val="single" w:sz="2" w:space="0" w:color="4E4E4E"/>
            <w:bottom w:val="single" w:sz="2" w:space="0" w:color="4E4E4E"/>
            <w:right w:val="single" w:sz="2" w:space="0" w:color="4E4E4E"/>
          </w:divBdr>
        </w:div>
        <w:div w:id="1083143321">
          <w:marLeft w:val="0"/>
          <w:marRight w:val="0"/>
          <w:marTop w:val="0"/>
          <w:marBottom w:val="0"/>
          <w:divBdr>
            <w:top w:val="single" w:sz="2" w:space="0" w:color="4E4E4E"/>
            <w:left w:val="single" w:sz="2" w:space="0" w:color="4E4E4E"/>
            <w:bottom w:val="single" w:sz="2" w:space="0" w:color="4E4E4E"/>
            <w:right w:val="single" w:sz="2" w:space="0" w:color="4E4E4E"/>
          </w:divBdr>
        </w:div>
      </w:divsChild>
    </w:div>
    <w:div w:id="1632595453">
      <w:bodyDiv w:val="1"/>
      <w:marLeft w:val="0"/>
      <w:marRight w:val="0"/>
      <w:marTop w:val="0"/>
      <w:marBottom w:val="0"/>
      <w:divBdr>
        <w:top w:val="none" w:sz="0" w:space="0" w:color="auto"/>
        <w:left w:val="none" w:sz="0" w:space="0" w:color="auto"/>
        <w:bottom w:val="none" w:sz="0" w:space="0" w:color="auto"/>
        <w:right w:val="none" w:sz="0" w:space="0" w:color="auto"/>
      </w:divBdr>
      <w:divsChild>
        <w:div w:id="1907719774">
          <w:marLeft w:val="0"/>
          <w:marRight w:val="0"/>
          <w:marTop w:val="0"/>
          <w:marBottom w:val="0"/>
          <w:divBdr>
            <w:top w:val="single" w:sz="2" w:space="0" w:color="4E4E4E"/>
            <w:left w:val="single" w:sz="2" w:space="0" w:color="4E4E4E"/>
            <w:bottom w:val="single" w:sz="2" w:space="0" w:color="4E4E4E"/>
            <w:right w:val="single" w:sz="2" w:space="0" w:color="4E4E4E"/>
          </w:divBdr>
        </w:div>
        <w:div w:id="31082232">
          <w:marLeft w:val="0"/>
          <w:marRight w:val="0"/>
          <w:marTop w:val="0"/>
          <w:marBottom w:val="0"/>
          <w:divBdr>
            <w:top w:val="single" w:sz="2" w:space="0" w:color="4E4E4E"/>
            <w:left w:val="single" w:sz="2" w:space="0" w:color="4E4E4E"/>
            <w:bottom w:val="single" w:sz="2" w:space="0" w:color="4E4E4E"/>
            <w:right w:val="single" w:sz="2" w:space="0" w:color="4E4E4E"/>
          </w:divBdr>
        </w:div>
        <w:div w:id="2141679317">
          <w:marLeft w:val="0"/>
          <w:marRight w:val="0"/>
          <w:marTop w:val="0"/>
          <w:marBottom w:val="0"/>
          <w:divBdr>
            <w:top w:val="single" w:sz="2" w:space="0" w:color="4E4E4E"/>
            <w:left w:val="single" w:sz="2" w:space="0" w:color="4E4E4E"/>
            <w:bottom w:val="single" w:sz="2" w:space="0" w:color="4E4E4E"/>
            <w:right w:val="single" w:sz="2" w:space="0" w:color="4E4E4E"/>
          </w:divBdr>
        </w:div>
        <w:div w:id="110632131">
          <w:marLeft w:val="0"/>
          <w:marRight w:val="0"/>
          <w:marTop w:val="0"/>
          <w:marBottom w:val="0"/>
          <w:divBdr>
            <w:top w:val="single" w:sz="2" w:space="0" w:color="4E4E4E"/>
            <w:left w:val="single" w:sz="2" w:space="0" w:color="4E4E4E"/>
            <w:bottom w:val="single" w:sz="2" w:space="0" w:color="4E4E4E"/>
            <w:right w:val="single" w:sz="2" w:space="0" w:color="4E4E4E"/>
          </w:divBdr>
        </w:div>
        <w:div w:id="5445895">
          <w:marLeft w:val="0"/>
          <w:marRight w:val="0"/>
          <w:marTop w:val="0"/>
          <w:marBottom w:val="0"/>
          <w:divBdr>
            <w:top w:val="single" w:sz="2" w:space="0" w:color="4E4E4E"/>
            <w:left w:val="single" w:sz="2" w:space="0" w:color="4E4E4E"/>
            <w:bottom w:val="single" w:sz="2" w:space="0" w:color="4E4E4E"/>
            <w:right w:val="single" w:sz="2" w:space="0" w:color="4E4E4E"/>
          </w:divBdr>
        </w:div>
        <w:div w:id="714424216">
          <w:marLeft w:val="0"/>
          <w:marRight w:val="0"/>
          <w:marTop w:val="0"/>
          <w:marBottom w:val="0"/>
          <w:divBdr>
            <w:top w:val="single" w:sz="2" w:space="0" w:color="4E4E4E"/>
            <w:left w:val="single" w:sz="2" w:space="0" w:color="4E4E4E"/>
            <w:bottom w:val="single" w:sz="2" w:space="0" w:color="4E4E4E"/>
            <w:right w:val="single" w:sz="2" w:space="0" w:color="4E4E4E"/>
          </w:divBdr>
        </w:div>
        <w:div w:id="1458064004">
          <w:marLeft w:val="0"/>
          <w:marRight w:val="0"/>
          <w:marTop w:val="0"/>
          <w:marBottom w:val="0"/>
          <w:divBdr>
            <w:top w:val="single" w:sz="2" w:space="0" w:color="4E4E4E"/>
            <w:left w:val="single" w:sz="2" w:space="0" w:color="4E4E4E"/>
            <w:bottom w:val="single" w:sz="2" w:space="0" w:color="4E4E4E"/>
            <w:right w:val="single" w:sz="2" w:space="0" w:color="4E4E4E"/>
          </w:divBdr>
        </w:div>
        <w:div w:id="2057898769">
          <w:marLeft w:val="0"/>
          <w:marRight w:val="0"/>
          <w:marTop w:val="0"/>
          <w:marBottom w:val="0"/>
          <w:divBdr>
            <w:top w:val="single" w:sz="2" w:space="0" w:color="4E4E4E"/>
            <w:left w:val="single" w:sz="2" w:space="0" w:color="4E4E4E"/>
            <w:bottom w:val="single" w:sz="2" w:space="0" w:color="4E4E4E"/>
            <w:right w:val="single" w:sz="2" w:space="0" w:color="4E4E4E"/>
          </w:divBdr>
        </w:div>
        <w:div w:id="1882206359">
          <w:marLeft w:val="0"/>
          <w:marRight w:val="0"/>
          <w:marTop w:val="0"/>
          <w:marBottom w:val="0"/>
          <w:divBdr>
            <w:top w:val="single" w:sz="2" w:space="0" w:color="4E4E4E"/>
            <w:left w:val="single" w:sz="2" w:space="0" w:color="4E4E4E"/>
            <w:bottom w:val="single" w:sz="2" w:space="0" w:color="4E4E4E"/>
            <w:right w:val="single" w:sz="2" w:space="0" w:color="4E4E4E"/>
          </w:divBdr>
        </w:div>
        <w:div w:id="647518118">
          <w:marLeft w:val="0"/>
          <w:marRight w:val="0"/>
          <w:marTop w:val="0"/>
          <w:marBottom w:val="0"/>
          <w:divBdr>
            <w:top w:val="single" w:sz="2" w:space="0" w:color="4E4E4E"/>
            <w:left w:val="single" w:sz="2" w:space="0" w:color="4E4E4E"/>
            <w:bottom w:val="single" w:sz="2" w:space="0" w:color="4E4E4E"/>
            <w:right w:val="single" w:sz="2" w:space="0" w:color="4E4E4E"/>
          </w:divBdr>
        </w:div>
        <w:div w:id="500395660">
          <w:marLeft w:val="0"/>
          <w:marRight w:val="0"/>
          <w:marTop w:val="0"/>
          <w:marBottom w:val="0"/>
          <w:divBdr>
            <w:top w:val="single" w:sz="2" w:space="0" w:color="4E4E4E"/>
            <w:left w:val="single" w:sz="2" w:space="0" w:color="4E4E4E"/>
            <w:bottom w:val="single" w:sz="2" w:space="0" w:color="4E4E4E"/>
            <w:right w:val="single" w:sz="2" w:space="0" w:color="4E4E4E"/>
          </w:divBdr>
        </w:div>
        <w:div w:id="384647288">
          <w:marLeft w:val="0"/>
          <w:marRight w:val="0"/>
          <w:marTop w:val="0"/>
          <w:marBottom w:val="0"/>
          <w:divBdr>
            <w:top w:val="single" w:sz="2" w:space="0" w:color="4E4E4E"/>
            <w:left w:val="single" w:sz="2" w:space="0" w:color="4E4E4E"/>
            <w:bottom w:val="single" w:sz="2" w:space="0" w:color="4E4E4E"/>
            <w:right w:val="single" w:sz="2" w:space="0" w:color="4E4E4E"/>
          </w:divBdr>
        </w:div>
        <w:div w:id="1593464348">
          <w:marLeft w:val="0"/>
          <w:marRight w:val="0"/>
          <w:marTop w:val="0"/>
          <w:marBottom w:val="0"/>
          <w:divBdr>
            <w:top w:val="single" w:sz="2" w:space="0" w:color="4E4E4E"/>
            <w:left w:val="single" w:sz="2" w:space="0" w:color="4E4E4E"/>
            <w:bottom w:val="single" w:sz="2" w:space="0" w:color="4E4E4E"/>
            <w:right w:val="single" w:sz="2" w:space="0" w:color="4E4E4E"/>
          </w:divBdr>
        </w:div>
        <w:div w:id="1748261288">
          <w:marLeft w:val="0"/>
          <w:marRight w:val="0"/>
          <w:marTop w:val="0"/>
          <w:marBottom w:val="0"/>
          <w:divBdr>
            <w:top w:val="single" w:sz="2" w:space="0" w:color="4E4E4E"/>
            <w:left w:val="single" w:sz="2" w:space="0" w:color="4E4E4E"/>
            <w:bottom w:val="single" w:sz="2" w:space="0" w:color="4E4E4E"/>
            <w:right w:val="single" w:sz="2" w:space="0" w:color="4E4E4E"/>
          </w:divBdr>
        </w:div>
        <w:div w:id="339504151">
          <w:marLeft w:val="0"/>
          <w:marRight w:val="0"/>
          <w:marTop w:val="0"/>
          <w:marBottom w:val="0"/>
          <w:divBdr>
            <w:top w:val="single" w:sz="2" w:space="0" w:color="4E4E4E"/>
            <w:left w:val="single" w:sz="2" w:space="0" w:color="4E4E4E"/>
            <w:bottom w:val="single" w:sz="2" w:space="0" w:color="4E4E4E"/>
            <w:right w:val="single" w:sz="2" w:space="0" w:color="4E4E4E"/>
          </w:divBdr>
        </w:div>
        <w:div w:id="1187476525">
          <w:marLeft w:val="0"/>
          <w:marRight w:val="0"/>
          <w:marTop w:val="0"/>
          <w:marBottom w:val="0"/>
          <w:divBdr>
            <w:top w:val="single" w:sz="2" w:space="0" w:color="4E4E4E"/>
            <w:left w:val="single" w:sz="2" w:space="0" w:color="4E4E4E"/>
            <w:bottom w:val="single" w:sz="2" w:space="0" w:color="4E4E4E"/>
            <w:right w:val="single" w:sz="2" w:space="0" w:color="4E4E4E"/>
          </w:divBdr>
        </w:div>
        <w:div w:id="255938995">
          <w:marLeft w:val="0"/>
          <w:marRight w:val="0"/>
          <w:marTop w:val="0"/>
          <w:marBottom w:val="0"/>
          <w:divBdr>
            <w:top w:val="single" w:sz="2" w:space="0" w:color="4E4E4E"/>
            <w:left w:val="single" w:sz="2" w:space="0" w:color="4E4E4E"/>
            <w:bottom w:val="single" w:sz="2" w:space="0" w:color="4E4E4E"/>
            <w:right w:val="single" w:sz="2" w:space="0" w:color="4E4E4E"/>
          </w:divBdr>
        </w:div>
        <w:div w:id="1490901402">
          <w:marLeft w:val="0"/>
          <w:marRight w:val="0"/>
          <w:marTop w:val="0"/>
          <w:marBottom w:val="0"/>
          <w:divBdr>
            <w:top w:val="single" w:sz="2" w:space="0" w:color="4E4E4E"/>
            <w:left w:val="single" w:sz="2" w:space="0" w:color="4E4E4E"/>
            <w:bottom w:val="single" w:sz="2" w:space="0" w:color="4E4E4E"/>
            <w:right w:val="single" w:sz="2" w:space="0" w:color="4E4E4E"/>
          </w:divBdr>
        </w:div>
        <w:div w:id="1320422656">
          <w:marLeft w:val="0"/>
          <w:marRight w:val="0"/>
          <w:marTop w:val="0"/>
          <w:marBottom w:val="0"/>
          <w:divBdr>
            <w:top w:val="single" w:sz="2" w:space="0" w:color="4E4E4E"/>
            <w:left w:val="single" w:sz="2" w:space="0" w:color="4E4E4E"/>
            <w:bottom w:val="single" w:sz="2" w:space="0" w:color="4E4E4E"/>
            <w:right w:val="single" w:sz="2" w:space="0" w:color="4E4E4E"/>
          </w:divBdr>
        </w:div>
        <w:div w:id="1363020668">
          <w:marLeft w:val="0"/>
          <w:marRight w:val="0"/>
          <w:marTop w:val="0"/>
          <w:marBottom w:val="0"/>
          <w:divBdr>
            <w:top w:val="single" w:sz="2" w:space="0" w:color="4E4E4E"/>
            <w:left w:val="single" w:sz="2" w:space="0" w:color="4E4E4E"/>
            <w:bottom w:val="single" w:sz="2" w:space="0" w:color="4E4E4E"/>
            <w:right w:val="single" w:sz="2" w:space="0" w:color="4E4E4E"/>
          </w:divBdr>
        </w:div>
        <w:div w:id="657028912">
          <w:marLeft w:val="0"/>
          <w:marRight w:val="0"/>
          <w:marTop w:val="0"/>
          <w:marBottom w:val="0"/>
          <w:divBdr>
            <w:top w:val="single" w:sz="2" w:space="0" w:color="4E4E4E"/>
            <w:left w:val="single" w:sz="2" w:space="0" w:color="4E4E4E"/>
            <w:bottom w:val="single" w:sz="2" w:space="0" w:color="4E4E4E"/>
            <w:right w:val="single" w:sz="2" w:space="0" w:color="4E4E4E"/>
          </w:divBdr>
        </w:div>
        <w:div w:id="630482067">
          <w:marLeft w:val="0"/>
          <w:marRight w:val="0"/>
          <w:marTop w:val="0"/>
          <w:marBottom w:val="0"/>
          <w:divBdr>
            <w:top w:val="single" w:sz="2" w:space="0" w:color="4E4E4E"/>
            <w:left w:val="single" w:sz="2" w:space="0" w:color="4E4E4E"/>
            <w:bottom w:val="single" w:sz="2" w:space="0" w:color="4E4E4E"/>
            <w:right w:val="single" w:sz="2" w:space="0" w:color="4E4E4E"/>
          </w:divBdr>
        </w:div>
        <w:div w:id="224339733">
          <w:marLeft w:val="0"/>
          <w:marRight w:val="0"/>
          <w:marTop w:val="0"/>
          <w:marBottom w:val="0"/>
          <w:divBdr>
            <w:top w:val="single" w:sz="2" w:space="0" w:color="4E4E4E"/>
            <w:left w:val="single" w:sz="2" w:space="0" w:color="4E4E4E"/>
            <w:bottom w:val="single" w:sz="2" w:space="0" w:color="4E4E4E"/>
            <w:right w:val="single" w:sz="2" w:space="0" w:color="4E4E4E"/>
          </w:divBdr>
        </w:div>
        <w:div w:id="1523475909">
          <w:marLeft w:val="0"/>
          <w:marRight w:val="0"/>
          <w:marTop w:val="0"/>
          <w:marBottom w:val="0"/>
          <w:divBdr>
            <w:top w:val="single" w:sz="2" w:space="0" w:color="4E4E4E"/>
            <w:left w:val="single" w:sz="2" w:space="0" w:color="4E4E4E"/>
            <w:bottom w:val="single" w:sz="2" w:space="0" w:color="4E4E4E"/>
            <w:right w:val="single" w:sz="2" w:space="0" w:color="4E4E4E"/>
          </w:divBdr>
        </w:div>
        <w:div w:id="1648167862">
          <w:marLeft w:val="0"/>
          <w:marRight w:val="0"/>
          <w:marTop w:val="0"/>
          <w:marBottom w:val="0"/>
          <w:divBdr>
            <w:top w:val="single" w:sz="2" w:space="0" w:color="4E4E4E"/>
            <w:left w:val="single" w:sz="2" w:space="0" w:color="4E4E4E"/>
            <w:bottom w:val="single" w:sz="2" w:space="0" w:color="4E4E4E"/>
            <w:right w:val="single" w:sz="2" w:space="0" w:color="4E4E4E"/>
          </w:divBdr>
        </w:div>
      </w:divsChild>
    </w:div>
    <w:div w:id="1663895446">
      <w:bodyDiv w:val="1"/>
      <w:marLeft w:val="0"/>
      <w:marRight w:val="0"/>
      <w:marTop w:val="0"/>
      <w:marBottom w:val="0"/>
      <w:divBdr>
        <w:top w:val="none" w:sz="0" w:space="0" w:color="auto"/>
        <w:left w:val="none" w:sz="0" w:space="0" w:color="auto"/>
        <w:bottom w:val="none" w:sz="0" w:space="0" w:color="auto"/>
        <w:right w:val="none" w:sz="0" w:space="0" w:color="auto"/>
      </w:divBdr>
      <w:divsChild>
        <w:div w:id="610434758">
          <w:marLeft w:val="0"/>
          <w:marRight w:val="0"/>
          <w:marTop w:val="0"/>
          <w:marBottom w:val="0"/>
          <w:divBdr>
            <w:top w:val="single" w:sz="2" w:space="0" w:color="4E4E4E"/>
            <w:left w:val="single" w:sz="2" w:space="0" w:color="4E4E4E"/>
            <w:bottom w:val="single" w:sz="2" w:space="0" w:color="4E4E4E"/>
            <w:right w:val="single" w:sz="2" w:space="0" w:color="4E4E4E"/>
          </w:divBdr>
        </w:div>
        <w:div w:id="577909316">
          <w:marLeft w:val="0"/>
          <w:marRight w:val="0"/>
          <w:marTop w:val="0"/>
          <w:marBottom w:val="0"/>
          <w:divBdr>
            <w:top w:val="single" w:sz="2" w:space="0" w:color="4E4E4E"/>
            <w:left w:val="single" w:sz="2" w:space="0" w:color="4E4E4E"/>
            <w:bottom w:val="single" w:sz="2" w:space="0" w:color="4E4E4E"/>
            <w:right w:val="single" w:sz="2" w:space="0" w:color="4E4E4E"/>
          </w:divBdr>
        </w:div>
        <w:div w:id="55208208">
          <w:marLeft w:val="0"/>
          <w:marRight w:val="0"/>
          <w:marTop w:val="0"/>
          <w:marBottom w:val="0"/>
          <w:divBdr>
            <w:top w:val="single" w:sz="2" w:space="0" w:color="4E4E4E"/>
            <w:left w:val="single" w:sz="2" w:space="0" w:color="4E4E4E"/>
            <w:bottom w:val="single" w:sz="2" w:space="0" w:color="4E4E4E"/>
            <w:right w:val="single" w:sz="2" w:space="0" w:color="4E4E4E"/>
          </w:divBdr>
        </w:div>
        <w:div w:id="775904205">
          <w:marLeft w:val="0"/>
          <w:marRight w:val="0"/>
          <w:marTop w:val="0"/>
          <w:marBottom w:val="0"/>
          <w:divBdr>
            <w:top w:val="single" w:sz="2" w:space="0" w:color="4E4E4E"/>
            <w:left w:val="single" w:sz="2" w:space="0" w:color="4E4E4E"/>
            <w:bottom w:val="single" w:sz="2" w:space="0" w:color="4E4E4E"/>
            <w:right w:val="single" w:sz="2" w:space="0" w:color="4E4E4E"/>
          </w:divBdr>
        </w:div>
        <w:div w:id="1606690154">
          <w:marLeft w:val="0"/>
          <w:marRight w:val="0"/>
          <w:marTop w:val="0"/>
          <w:marBottom w:val="0"/>
          <w:divBdr>
            <w:top w:val="single" w:sz="2" w:space="0" w:color="4E4E4E"/>
            <w:left w:val="single" w:sz="2" w:space="0" w:color="4E4E4E"/>
            <w:bottom w:val="single" w:sz="2" w:space="0" w:color="4E4E4E"/>
            <w:right w:val="single" w:sz="2" w:space="0" w:color="4E4E4E"/>
          </w:divBdr>
        </w:div>
        <w:div w:id="1603028773">
          <w:marLeft w:val="0"/>
          <w:marRight w:val="0"/>
          <w:marTop w:val="0"/>
          <w:marBottom w:val="0"/>
          <w:divBdr>
            <w:top w:val="single" w:sz="2" w:space="0" w:color="4E4E4E"/>
            <w:left w:val="single" w:sz="2" w:space="0" w:color="4E4E4E"/>
            <w:bottom w:val="single" w:sz="2" w:space="0" w:color="4E4E4E"/>
            <w:right w:val="single" w:sz="2" w:space="0" w:color="4E4E4E"/>
          </w:divBdr>
        </w:div>
        <w:div w:id="668674556">
          <w:marLeft w:val="0"/>
          <w:marRight w:val="0"/>
          <w:marTop w:val="0"/>
          <w:marBottom w:val="0"/>
          <w:divBdr>
            <w:top w:val="single" w:sz="2" w:space="0" w:color="4E4E4E"/>
            <w:left w:val="single" w:sz="2" w:space="0" w:color="4E4E4E"/>
            <w:bottom w:val="single" w:sz="2" w:space="0" w:color="4E4E4E"/>
            <w:right w:val="single" w:sz="2" w:space="0" w:color="4E4E4E"/>
          </w:divBdr>
        </w:div>
        <w:div w:id="1199705002">
          <w:marLeft w:val="0"/>
          <w:marRight w:val="0"/>
          <w:marTop w:val="0"/>
          <w:marBottom w:val="0"/>
          <w:divBdr>
            <w:top w:val="single" w:sz="2" w:space="0" w:color="4E4E4E"/>
            <w:left w:val="single" w:sz="2" w:space="0" w:color="4E4E4E"/>
            <w:bottom w:val="single" w:sz="2" w:space="0" w:color="4E4E4E"/>
            <w:right w:val="single" w:sz="2" w:space="0" w:color="4E4E4E"/>
          </w:divBdr>
        </w:div>
      </w:divsChild>
    </w:div>
    <w:div w:id="1876504347">
      <w:bodyDiv w:val="1"/>
      <w:marLeft w:val="0"/>
      <w:marRight w:val="0"/>
      <w:marTop w:val="0"/>
      <w:marBottom w:val="0"/>
      <w:divBdr>
        <w:top w:val="none" w:sz="0" w:space="0" w:color="auto"/>
        <w:left w:val="none" w:sz="0" w:space="0" w:color="auto"/>
        <w:bottom w:val="none" w:sz="0" w:space="0" w:color="auto"/>
        <w:right w:val="none" w:sz="0" w:space="0" w:color="auto"/>
      </w:divBdr>
      <w:divsChild>
        <w:div w:id="1272324431">
          <w:marLeft w:val="0"/>
          <w:marRight w:val="0"/>
          <w:marTop w:val="0"/>
          <w:marBottom w:val="0"/>
          <w:divBdr>
            <w:top w:val="single" w:sz="2" w:space="0" w:color="4E4E4E"/>
            <w:left w:val="single" w:sz="2" w:space="0" w:color="4E4E4E"/>
            <w:bottom w:val="single" w:sz="2" w:space="0" w:color="4E4E4E"/>
            <w:right w:val="single" w:sz="2" w:space="0" w:color="4E4E4E"/>
          </w:divBdr>
        </w:div>
        <w:div w:id="1596131842">
          <w:marLeft w:val="0"/>
          <w:marRight w:val="0"/>
          <w:marTop w:val="0"/>
          <w:marBottom w:val="0"/>
          <w:divBdr>
            <w:top w:val="single" w:sz="2" w:space="0" w:color="4E4E4E"/>
            <w:left w:val="single" w:sz="2" w:space="0" w:color="4E4E4E"/>
            <w:bottom w:val="single" w:sz="2" w:space="0" w:color="4E4E4E"/>
            <w:right w:val="single" w:sz="2" w:space="0" w:color="4E4E4E"/>
          </w:divBdr>
        </w:div>
      </w:divsChild>
    </w:div>
    <w:div w:id="1940747050">
      <w:bodyDiv w:val="1"/>
      <w:marLeft w:val="0"/>
      <w:marRight w:val="0"/>
      <w:marTop w:val="0"/>
      <w:marBottom w:val="0"/>
      <w:divBdr>
        <w:top w:val="none" w:sz="0" w:space="0" w:color="auto"/>
        <w:left w:val="none" w:sz="0" w:space="0" w:color="auto"/>
        <w:bottom w:val="none" w:sz="0" w:space="0" w:color="auto"/>
        <w:right w:val="none" w:sz="0" w:space="0" w:color="auto"/>
      </w:divBdr>
      <w:divsChild>
        <w:div w:id="888734603">
          <w:marLeft w:val="0"/>
          <w:marRight w:val="0"/>
          <w:marTop w:val="0"/>
          <w:marBottom w:val="0"/>
          <w:divBdr>
            <w:top w:val="single" w:sz="2" w:space="0" w:color="4E4E4E"/>
            <w:left w:val="single" w:sz="2" w:space="0" w:color="4E4E4E"/>
            <w:bottom w:val="single" w:sz="2" w:space="0" w:color="4E4E4E"/>
            <w:right w:val="single" w:sz="2" w:space="0" w:color="4E4E4E"/>
          </w:divBdr>
        </w:div>
        <w:div w:id="1063022456">
          <w:marLeft w:val="0"/>
          <w:marRight w:val="0"/>
          <w:marTop w:val="0"/>
          <w:marBottom w:val="0"/>
          <w:divBdr>
            <w:top w:val="single" w:sz="2" w:space="0" w:color="4E4E4E"/>
            <w:left w:val="single" w:sz="2" w:space="0" w:color="4E4E4E"/>
            <w:bottom w:val="single" w:sz="2" w:space="0" w:color="4E4E4E"/>
            <w:right w:val="single" w:sz="2" w:space="0" w:color="4E4E4E"/>
          </w:divBdr>
        </w:div>
      </w:divsChild>
    </w:div>
    <w:div w:id="2089305182">
      <w:bodyDiv w:val="1"/>
      <w:marLeft w:val="0"/>
      <w:marRight w:val="0"/>
      <w:marTop w:val="0"/>
      <w:marBottom w:val="0"/>
      <w:divBdr>
        <w:top w:val="none" w:sz="0" w:space="0" w:color="auto"/>
        <w:left w:val="none" w:sz="0" w:space="0" w:color="auto"/>
        <w:bottom w:val="none" w:sz="0" w:space="0" w:color="auto"/>
        <w:right w:val="none" w:sz="0" w:space="0" w:color="auto"/>
      </w:divBdr>
      <w:divsChild>
        <w:div w:id="418794273">
          <w:marLeft w:val="0"/>
          <w:marRight w:val="0"/>
          <w:marTop w:val="0"/>
          <w:marBottom w:val="0"/>
          <w:divBdr>
            <w:top w:val="single" w:sz="2" w:space="0" w:color="4E4E4E"/>
            <w:left w:val="single" w:sz="2" w:space="0" w:color="4E4E4E"/>
            <w:bottom w:val="single" w:sz="2" w:space="0" w:color="4E4E4E"/>
            <w:right w:val="single" w:sz="2" w:space="0" w:color="4E4E4E"/>
          </w:divBdr>
        </w:div>
        <w:div w:id="1373118437">
          <w:marLeft w:val="0"/>
          <w:marRight w:val="0"/>
          <w:marTop w:val="0"/>
          <w:marBottom w:val="0"/>
          <w:divBdr>
            <w:top w:val="single" w:sz="2" w:space="0" w:color="4E4E4E"/>
            <w:left w:val="single" w:sz="2" w:space="0" w:color="4E4E4E"/>
            <w:bottom w:val="single" w:sz="2" w:space="0" w:color="4E4E4E"/>
            <w:right w:val="single" w:sz="2" w:space="0" w:color="4E4E4E"/>
          </w:divBdr>
        </w:div>
        <w:div w:id="359819429">
          <w:marLeft w:val="0"/>
          <w:marRight w:val="0"/>
          <w:marTop w:val="0"/>
          <w:marBottom w:val="0"/>
          <w:divBdr>
            <w:top w:val="single" w:sz="2" w:space="0" w:color="4E4E4E"/>
            <w:left w:val="single" w:sz="2" w:space="0" w:color="4E4E4E"/>
            <w:bottom w:val="single" w:sz="2" w:space="0" w:color="4E4E4E"/>
            <w:right w:val="single" w:sz="2" w:space="0" w:color="4E4E4E"/>
          </w:divBdr>
        </w:div>
        <w:div w:id="433672105">
          <w:marLeft w:val="0"/>
          <w:marRight w:val="0"/>
          <w:marTop w:val="0"/>
          <w:marBottom w:val="0"/>
          <w:divBdr>
            <w:top w:val="single" w:sz="2" w:space="0" w:color="4E4E4E"/>
            <w:left w:val="single" w:sz="2" w:space="0" w:color="4E4E4E"/>
            <w:bottom w:val="single" w:sz="2" w:space="0" w:color="4E4E4E"/>
            <w:right w:val="single" w:sz="2" w:space="0" w:color="4E4E4E"/>
          </w:divBdr>
        </w:div>
        <w:div w:id="856697171">
          <w:marLeft w:val="0"/>
          <w:marRight w:val="0"/>
          <w:marTop w:val="0"/>
          <w:marBottom w:val="0"/>
          <w:divBdr>
            <w:top w:val="single" w:sz="2" w:space="0" w:color="4E4E4E"/>
            <w:left w:val="single" w:sz="2" w:space="0" w:color="4E4E4E"/>
            <w:bottom w:val="single" w:sz="2" w:space="0" w:color="4E4E4E"/>
            <w:right w:val="single" w:sz="2" w:space="0" w:color="4E4E4E"/>
          </w:divBdr>
        </w:div>
        <w:div w:id="2039088097">
          <w:marLeft w:val="0"/>
          <w:marRight w:val="0"/>
          <w:marTop w:val="0"/>
          <w:marBottom w:val="0"/>
          <w:divBdr>
            <w:top w:val="single" w:sz="2" w:space="0" w:color="4E4E4E"/>
            <w:left w:val="single" w:sz="2" w:space="0" w:color="4E4E4E"/>
            <w:bottom w:val="single" w:sz="2" w:space="0" w:color="4E4E4E"/>
            <w:right w:val="single" w:sz="2" w:space="0" w:color="4E4E4E"/>
          </w:divBdr>
        </w:div>
        <w:div w:id="1100644250">
          <w:marLeft w:val="0"/>
          <w:marRight w:val="0"/>
          <w:marTop w:val="0"/>
          <w:marBottom w:val="0"/>
          <w:divBdr>
            <w:top w:val="single" w:sz="2" w:space="0" w:color="4E4E4E"/>
            <w:left w:val="single" w:sz="2" w:space="0" w:color="4E4E4E"/>
            <w:bottom w:val="single" w:sz="2" w:space="0" w:color="4E4E4E"/>
            <w:right w:val="single" w:sz="2" w:space="0" w:color="4E4E4E"/>
          </w:divBdr>
        </w:div>
        <w:div w:id="1864901456">
          <w:marLeft w:val="0"/>
          <w:marRight w:val="0"/>
          <w:marTop w:val="0"/>
          <w:marBottom w:val="0"/>
          <w:divBdr>
            <w:top w:val="single" w:sz="2" w:space="0" w:color="4E4E4E"/>
            <w:left w:val="single" w:sz="2" w:space="0" w:color="4E4E4E"/>
            <w:bottom w:val="single" w:sz="2" w:space="0" w:color="4E4E4E"/>
            <w:right w:val="single" w:sz="2" w:space="0" w:color="4E4E4E"/>
          </w:divBdr>
        </w:div>
      </w:divsChild>
    </w:div>
    <w:div w:id="212842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3390/polym171216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53</Pages>
  <Words>21557</Words>
  <Characters>122877</Characters>
  <Application>Microsoft Office Word</Application>
  <DocSecurity>0</DocSecurity>
  <Lines>1023</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2026-02-13T09:09:00Z</cp:lastPrinted>
  <dcterms:created xsi:type="dcterms:W3CDTF">2026-02-13T09:41:00Z</dcterms:created>
  <dcterms:modified xsi:type="dcterms:W3CDTF">2026-02-13T15:28:00Z</dcterms:modified>
</cp:coreProperties>
</file>